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DE4A9F" w:rsidRPr="00DE4A9F" w14:paraId="7D360887" w14:textId="77777777" w:rsidTr="00DE4A9F">
        <w:trPr>
          <w:trHeight w:val="1786"/>
        </w:trPr>
        <w:tc>
          <w:tcPr>
            <w:tcW w:w="5000" w:type="pct"/>
            <w:gridSpan w:val="4"/>
          </w:tcPr>
          <w:p w14:paraId="3676E391" w14:textId="77777777" w:rsidR="00DE4A9F" w:rsidRPr="00DE4A9F" w:rsidRDefault="00DE4A9F" w:rsidP="00DE4A9F">
            <w:pPr>
              <w:jc w:val="center"/>
              <w:rPr>
                <w:b/>
                <w:lang w:val="fr-CA"/>
              </w:rPr>
            </w:pPr>
            <w:r w:rsidRPr="00DE4A9F">
              <w:rPr>
                <w:b/>
                <w:noProof/>
              </w:rPr>
              <w:drawing>
                <wp:inline distT="0" distB="0" distL="0" distR="0" wp14:anchorId="33AD99E1" wp14:editId="25F512CC">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0A05024D" w14:textId="77777777" w:rsidR="00DE4A9F" w:rsidRPr="00DE4A9F" w:rsidRDefault="00DE4A9F" w:rsidP="00DE4A9F">
            <w:pPr>
              <w:spacing w:before="120" w:after="100" w:afterAutospacing="1"/>
              <w:jc w:val="center"/>
              <w:rPr>
                <w:lang w:val="fr-CA"/>
              </w:rPr>
            </w:pPr>
            <w:r w:rsidRPr="00DE4A9F">
              <w:rPr>
                <w:b/>
                <w:lang w:val="fr-CA"/>
              </w:rPr>
              <w:t>COUR SUPRÊME DU CANADA</w:t>
            </w:r>
          </w:p>
        </w:tc>
      </w:tr>
      <w:tr w:rsidR="00DE4A9F" w:rsidRPr="00DE4A9F" w14:paraId="52A595F6" w14:textId="77777777" w:rsidTr="00DE4A9F">
        <w:tblPrEx>
          <w:tblCellMar>
            <w:top w:w="58" w:type="dxa"/>
            <w:left w:w="58" w:type="dxa"/>
            <w:bottom w:w="58" w:type="dxa"/>
            <w:right w:w="58" w:type="dxa"/>
          </w:tblCellMar>
        </w:tblPrEx>
        <w:tc>
          <w:tcPr>
            <w:tcW w:w="2110" w:type="pct"/>
            <w:gridSpan w:val="2"/>
          </w:tcPr>
          <w:p w14:paraId="1CF22AF7" w14:textId="77777777" w:rsidR="00DE4A9F" w:rsidRPr="00DE4A9F" w:rsidRDefault="00DE4A9F" w:rsidP="00DE4A9F">
            <w:pPr>
              <w:rPr>
                <w:b/>
                <w:smallCaps/>
                <w:lang w:val="fr-CA"/>
              </w:rPr>
            </w:pPr>
          </w:p>
          <w:p w14:paraId="11670C64" w14:textId="77777777" w:rsidR="00DE4A9F" w:rsidRPr="00DE4A9F" w:rsidRDefault="00DE4A9F" w:rsidP="00DE4A9F">
            <w:pPr>
              <w:rPr>
                <w:i/>
                <w:smallCaps/>
                <w:lang w:val="fr-CA"/>
              </w:rPr>
            </w:pPr>
            <w:r w:rsidRPr="00DE4A9F">
              <w:rPr>
                <w:b/>
                <w:smallCaps/>
                <w:lang w:val="fr-CA"/>
              </w:rPr>
              <w:t xml:space="preserve">Référence : </w:t>
            </w:r>
            <w:r w:rsidRPr="00DE4A9F">
              <w:rPr>
                <w:lang w:val="fr-FR"/>
              </w:rPr>
              <w:t xml:space="preserve">Riddle </w:t>
            </w:r>
            <w:r w:rsidRPr="00DE4A9F">
              <w:rPr>
                <w:i/>
                <w:lang w:val="fr-FR"/>
              </w:rPr>
              <w:t>c.</w:t>
            </w:r>
            <w:r w:rsidRPr="00DE4A9F">
              <w:rPr>
                <w:lang w:val="fr-FR"/>
              </w:rPr>
              <w:t xml:space="preserve"> ivari, 2026 CSC 9</w:t>
            </w:r>
          </w:p>
        </w:tc>
        <w:tc>
          <w:tcPr>
            <w:tcW w:w="780" w:type="pct"/>
          </w:tcPr>
          <w:p w14:paraId="395316D2" w14:textId="77777777" w:rsidR="00DE4A9F" w:rsidRPr="00DE4A9F" w:rsidRDefault="00DE4A9F" w:rsidP="00DE4A9F">
            <w:pPr>
              <w:rPr>
                <w:lang w:val="fr-CA"/>
              </w:rPr>
            </w:pPr>
          </w:p>
        </w:tc>
        <w:tc>
          <w:tcPr>
            <w:tcW w:w="2110" w:type="pct"/>
          </w:tcPr>
          <w:p w14:paraId="439F3C7F" w14:textId="77777777" w:rsidR="00DE4A9F" w:rsidRPr="00DE4A9F" w:rsidRDefault="00DE4A9F" w:rsidP="00DE4A9F">
            <w:pPr>
              <w:jc w:val="both"/>
              <w:rPr>
                <w:b/>
                <w:smallCaps/>
                <w:lang w:val="fr-CA"/>
              </w:rPr>
            </w:pPr>
          </w:p>
          <w:p w14:paraId="4EE0B58B" w14:textId="77777777" w:rsidR="00DE4A9F" w:rsidRPr="00DE4A9F" w:rsidRDefault="00DE4A9F" w:rsidP="00DE4A9F">
            <w:pPr>
              <w:jc w:val="both"/>
              <w:rPr>
                <w:lang w:val="fr-CA"/>
              </w:rPr>
            </w:pPr>
            <w:r w:rsidRPr="00DE4A9F">
              <w:rPr>
                <w:b/>
                <w:smallCaps/>
                <w:lang w:val="fr-CA"/>
              </w:rPr>
              <w:t>Appel entendu :</w:t>
            </w:r>
            <w:r w:rsidRPr="00DE4A9F">
              <w:rPr>
                <w:lang w:val="fr-CA"/>
              </w:rPr>
              <w:t xml:space="preserve"> 10 octobre 2025</w:t>
            </w:r>
          </w:p>
          <w:p w14:paraId="1DA1746F" w14:textId="77777777" w:rsidR="00DE4A9F" w:rsidRPr="00DE4A9F" w:rsidRDefault="00DE4A9F" w:rsidP="00DE4A9F">
            <w:pPr>
              <w:rPr>
                <w:lang w:val="fr-CA"/>
              </w:rPr>
            </w:pPr>
            <w:r w:rsidRPr="00DE4A9F">
              <w:rPr>
                <w:b/>
                <w:smallCaps/>
                <w:lang w:val="fr-CA"/>
              </w:rPr>
              <w:t>Jugement rendu :</w:t>
            </w:r>
            <w:r w:rsidRPr="00DE4A9F">
              <w:rPr>
                <w:lang w:val="fr-CA"/>
              </w:rPr>
              <w:t xml:space="preserve"> 10 avril 2026</w:t>
            </w:r>
          </w:p>
          <w:p w14:paraId="55FC7F1E" w14:textId="77777777" w:rsidR="00DE4A9F" w:rsidRPr="00DE4A9F" w:rsidRDefault="00DE4A9F" w:rsidP="00DE4A9F">
            <w:pPr>
              <w:rPr>
                <w:lang w:val="fr-CA"/>
              </w:rPr>
            </w:pPr>
            <w:r w:rsidRPr="00DE4A9F">
              <w:rPr>
                <w:b/>
                <w:smallCaps/>
                <w:lang w:val="fr-CA"/>
              </w:rPr>
              <w:t>Dossier :</w:t>
            </w:r>
            <w:r w:rsidRPr="00DE4A9F">
              <w:rPr>
                <w:lang w:val="fr-CA"/>
              </w:rPr>
              <w:t xml:space="preserve"> 40986</w:t>
            </w:r>
          </w:p>
        </w:tc>
      </w:tr>
      <w:tr w:rsidR="00DE4A9F" w:rsidRPr="00DE4A9F" w14:paraId="6BD7FD4D" w14:textId="77777777" w:rsidTr="00DE4A9F">
        <w:tblPrEx>
          <w:tblCellMar>
            <w:top w:w="58" w:type="dxa"/>
            <w:left w:w="58" w:type="dxa"/>
            <w:bottom w:w="58" w:type="dxa"/>
            <w:right w:w="58" w:type="dxa"/>
          </w:tblCellMar>
        </w:tblPrEx>
        <w:tc>
          <w:tcPr>
            <w:tcW w:w="5000" w:type="pct"/>
            <w:gridSpan w:val="4"/>
          </w:tcPr>
          <w:p w14:paraId="3576E612" w14:textId="77777777" w:rsidR="00DE4A9F" w:rsidRPr="00DE4A9F" w:rsidRDefault="00DE4A9F" w:rsidP="00DE4A9F">
            <w:pPr>
              <w:rPr>
                <w:lang w:val="fr-CA"/>
              </w:rPr>
            </w:pPr>
          </w:p>
          <w:p w14:paraId="2D650300" w14:textId="77777777" w:rsidR="00DE4A9F" w:rsidRPr="00DE4A9F" w:rsidRDefault="00DE4A9F" w:rsidP="00DE4A9F">
            <w:pPr>
              <w:rPr>
                <w:b/>
                <w:smallCaps/>
                <w:lang w:val="fr-CA"/>
              </w:rPr>
            </w:pPr>
            <w:r w:rsidRPr="00DE4A9F">
              <w:rPr>
                <w:b/>
                <w:smallCaps/>
                <w:lang w:val="fr-CA"/>
              </w:rPr>
              <w:t>Entre :</w:t>
            </w:r>
          </w:p>
          <w:p w14:paraId="1730F543" w14:textId="77777777" w:rsidR="00DE4A9F" w:rsidRPr="00DE4A9F" w:rsidRDefault="00DE4A9F" w:rsidP="00DE4A9F">
            <w:pPr>
              <w:rPr>
                <w:lang w:val="fr-CA"/>
              </w:rPr>
            </w:pPr>
          </w:p>
          <w:p w14:paraId="4C3DD226" w14:textId="77777777" w:rsidR="00DE4A9F" w:rsidRPr="00DE4A9F" w:rsidRDefault="00DE4A9F" w:rsidP="00DE4A9F">
            <w:pPr>
              <w:jc w:val="center"/>
              <w:rPr>
                <w:b/>
                <w:lang w:val="fr-CA"/>
              </w:rPr>
            </w:pPr>
            <w:r w:rsidRPr="00DE4A9F">
              <w:rPr>
                <w:b/>
                <w:lang w:val="fr-CA"/>
              </w:rPr>
              <w:t>Deborah Carol Riddle</w:t>
            </w:r>
          </w:p>
          <w:p w14:paraId="7AB3C83A" w14:textId="77777777" w:rsidR="00DE4A9F" w:rsidRPr="00DE4A9F" w:rsidRDefault="00DE4A9F" w:rsidP="00DE4A9F">
            <w:pPr>
              <w:jc w:val="center"/>
              <w:rPr>
                <w:lang w:val="fr-CA"/>
              </w:rPr>
            </w:pPr>
            <w:r w:rsidRPr="00DE4A9F">
              <w:rPr>
                <w:lang w:val="fr-CA"/>
              </w:rPr>
              <w:t>Appelante</w:t>
            </w:r>
          </w:p>
          <w:p w14:paraId="5E1563C3" w14:textId="77777777" w:rsidR="00DE4A9F" w:rsidRPr="00DE4A9F" w:rsidRDefault="00DE4A9F" w:rsidP="00DE4A9F">
            <w:pPr>
              <w:rPr>
                <w:lang w:val="fr-CA"/>
              </w:rPr>
            </w:pPr>
          </w:p>
          <w:p w14:paraId="75A11211" w14:textId="77777777" w:rsidR="00DE4A9F" w:rsidRPr="00DE4A9F" w:rsidRDefault="00DE4A9F" w:rsidP="00DE4A9F">
            <w:pPr>
              <w:jc w:val="center"/>
              <w:rPr>
                <w:lang w:val="fr-CA"/>
              </w:rPr>
            </w:pPr>
            <w:proofErr w:type="gramStart"/>
            <w:r w:rsidRPr="00DE4A9F">
              <w:rPr>
                <w:lang w:val="fr-CA"/>
              </w:rPr>
              <w:t>et</w:t>
            </w:r>
            <w:proofErr w:type="gramEnd"/>
          </w:p>
          <w:p w14:paraId="3F3F1B66" w14:textId="77777777" w:rsidR="00DE4A9F" w:rsidRPr="00DE4A9F" w:rsidRDefault="00DE4A9F" w:rsidP="00DE4A9F">
            <w:pPr>
              <w:rPr>
                <w:lang w:val="fr-CA"/>
              </w:rPr>
            </w:pPr>
          </w:p>
          <w:p w14:paraId="730AF064" w14:textId="77777777" w:rsidR="00DE4A9F" w:rsidRPr="00DE4A9F" w:rsidRDefault="00DE4A9F" w:rsidP="00DE4A9F">
            <w:pPr>
              <w:jc w:val="center"/>
              <w:rPr>
                <w:b/>
                <w:lang w:val="fr-CA"/>
              </w:rPr>
            </w:pPr>
            <w:proofErr w:type="gramStart"/>
            <w:r w:rsidRPr="00DE4A9F">
              <w:rPr>
                <w:b/>
                <w:lang w:val="fr-CA"/>
              </w:rPr>
              <w:t>ivari</w:t>
            </w:r>
            <w:proofErr w:type="gramEnd"/>
          </w:p>
          <w:p w14:paraId="05B53274" w14:textId="77777777" w:rsidR="00DE4A9F" w:rsidRPr="00DE4A9F" w:rsidRDefault="00DE4A9F" w:rsidP="00DE4A9F">
            <w:pPr>
              <w:jc w:val="center"/>
              <w:rPr>
                <w:lang w:val="fr-CA"/>
              </w:rPr>
            </w:pPr>
            <w:r w:rsidRPr="00DE4A9F">
              <w:rPr>
                <w:lang w:val="fr-CA"/>
              </w:rPr>
              <w:t>Intimée</w:t>
            </w:r>
          </w:p>
          <w:p w14:paraId="135D4504" w14:textId="77777777" w:rsidR="00DE4A9F" w:rsidRPr="00DE4A9F" w:rsidRDefault="00DE4A9F" w:rsidP="00DE4A9F">
            <w:pPr>
              <w:rPr>
                <w:lang w:val="fr-CA"/>
              </w:rPr>
            </w:pPr>
          </w:p>
          <w:p w14:paraId="7C2D58C1" w14:textId="77777777" w:rsidR="00DE4A9F" w:rsidRPr="00DE4A9F" w:rsidRDefault="00DE4A9F" w:rsidP="00DE4A9F">
            <w:pPr>
              <w:rPr>
                <w:lang w:val="fr-CA"/>
              </w:rPr>
            </w:pPr>
          </w:p>
          <w:p w14:paraId="72B2EE0E" w14:textId="77777777" w:rsidR="00DE4A9F" w:rsidRPr="00DE4A9F" w:rsidRDefault="00DE4A9F" w:rsidP="00DE4A9F">
            <w:pPr>
              <w:rPr>
                <w:lang w:val="fr-CA"/>
              </w:rPr>
            </w:pPr>
          </w:p>
          <w:p w14:paraId="5563785C" w14:textId="77777777" w:rsidR="00DE4A9F" w:rsidRPr="00DE4A9F" w:rsidRDefault="00DE4A9F" w:rsidP="00DE4A9F">
            <w:pPr>
              <w:rPr>
                <w:lang w:val="fr-CA"/>
              </w:rPr>
            </w:pPr>
            <w:r w:rsidRPr="00DE4A9F">
              <w:rPr>
                <w:b/>
                <w:smallCaps/>
                <w:lang w:val="fr-CA"/>
              </w:rPr>
              <w:t>Coram :</w:t>
            </w:r>
            <w:r w:rsidRPr="00DE4A9F">
              <w:rPr>
                <w:lang w:val="fr-CA"/>
              </w:rPr>
              <w:t xml:space="preserve"> Le juge en chef Wagner et les juges Karakatsanis, Côté, Rowe, Martin, Kasirer, Jamal, O’Bonsawin et Moreau</w:t>
            </w:r>
          </w:p>
          <w:p w14:paraId="640D4334" w14:textId="77777777" w:rsidR="00DE4A9F" w:rsidRPr="00DE4A9F" w:rsidRDefault="00DE4A9F" w:rsidP="00DE4A9F">
            <w:pPr>
              <w:jc w:val="both"/>
              <w:rPr>
                <w:b/>
                <w:smallCaps/>
                <w:lang w:val="fr-CA"/>
              </w:rPr>
            </w:pPr>
          </w:p>
        </w:tc>
      </w:tr>
      <w:tr w:rsidR="00DE4A9F" w:rsidRPr="00DE4A9F" w14:paraId="68492427" w14:textId="77777777" w:rsidTr="00DE4A9F">
        <w:tblPrEx>
          <w:tblCellMar>
            <w:top w:w="58" w:type="dxa"/>
            <w:left w:w="58" w:type="dxa"/>
            <w:bottom w:w="58" w:type="dxa"/>
            <w:right w:w="58" w:type="dxa"/>
          </w:tblCellMar>
        </w:tblPrEx>
        <w:trPr>
          <w:trHeight w:val="944"/>
        </w:trPr>
        <w:tc>
          <w:tcPr>
            <w:tcW w:w="1251" w:type="pct"/>
          </w:tcPr>
          <w:p w14:paraId="581D63E3" w14:textId="77777777" w:rsidR="00DE4A9F" w:rsidRPr="00DE4A9F" w:rsidRDefault="00DE4A9F" w:rsidP="00DE4A9F">
            <w:pPr>
              <w:rPr>
                <w:lang w:val="fr-CA"/>
              </w:rPr>
            </w:pPr>
            <w:r w:rsidRPr="00DE4A9F">
              <w:rPr>
                <w:b/>
                <w:smallCaps/>
                <w:lang w:val="fr-CA"/>
              </w:rPr>
              <w:t>Motifs de jugement</w:t>
            </w:r>
            <w:r w:rsidRPr="00DE4A9F">
              <w:rPr>
                <w:b/>
                <w:lang w:val="fr-CA"/>
              </w:rPr>
              <w:t> :</w:t>
            </w:r>
            <w:r w:rsidRPr="00DE4A9F">
              <w:rPr>
                <w:lang w:val="fr-CA"/>
              </w:rPr>
              <w:t xml:space="preserve"> </w:t>
            </w:r>
          </w:p>
          <w:p w14:paraId="7A8DF179" w14:textId="77777777" w:rsidR="00DE4A9F" w:rsidRPr="00DE4A9F" w:rsidRDefault="00DE4A9F" w:rsidP="00DE4A9F">
            <w:pPr>
              <w:rPr>
                <w:lang w:val="fr-CA"/>
              </w:rPr>
            </w:pPr>
            <w:r w:rsidRPr="00DE4A9F">
              <w:rPr>
                <w:lang w:val="fr-CA"/>
              </w:rPr>
              <w:t>(</w:t>
            </w:r>
            <w:proofErr w:type="gramStart"/>
            <w:r w:rsidRPr="00DE4A9F">
              <w:rPr>
                <w:lang w:val="fr-CA"/>
              </w:rPr>
              <w:t>par</w:t>
            </w:r>
            <w:proofErr w:type="gramEnd"/>
            <w:r w:rsidRPr="00DE4A9F">
              <w:rPr>
                <w:lang w:val="fr-CA"/>
              </w:rPr>
              <w:t>. 1 à 97)</w:t>
            </w:r>
          </w:p>
        </w:tc>
        <w:tc>
          <w:tcPr>
            <w:tcW w:w="3749" w:type="pct"/>
            <w:gridSpan w:val="3"/>
          </w:tcPr>
          <w:p w14:paraId="3275B262" w14:textId="77777777" w:rsidR="00DE4A9F" w:rsidRPr="00DE4A9F" w:rsidRDefault="00DE4A9F" w:rsidP="00DE4A9F">
            <w:pPr>
              <w:rPr>
                <w:lang w:val="fr-CA"/>
              </w:rPr>
            </w:pPr>
            <w:r w:rsidRPr="00DE4A9F">
              <w:rPr>
                <w:lang w:val="fr-CA"/>
              </w:rPr>
              <w:t>Le juge en chef Wagner (avec l’accord des juges Karakatsanis, Côté, Rowe, Martin, Kasirer, Jamal, O’Bonsawin et Moreau)</w:t>
            </w:r>
          </w:p>
        </w:tc>
      </w:tr>
    </w:tbl>
    <w:p w14:paraId="58FCE21B" w14:textId="77777777" w:rsidR="00DE4A9F" w:rsidRPr="00DE4A9F" w:rsidRDefault="00DE4A9F" w:rsidP="00DE4A9F">
      <w:pPr>
        <w:rPr>
          <w:rFonts w:eastAsiaTheme="minorHAnsi" w:cstheme="minorBidi"/>
          <w:szCs w:val="24"/>
          <w:lang w:val="fr-CA" w:eastAsia="en-US"/>
        </w:rPr>
      </w:pPr>
    </w:p>
    <w:p w14:paraId="787AFBE6" w14:textId="77777777" w:rsidR="00DE4A9F" w:rsidRPr="00DE4A9F" w:rsidRDefault="00DE4A9F" w:rsidP="00DE4A9F">
      <w:pPr>
        <w:rPr>
          <w:rFonts w:eastAsiaTheme="minorHAnsi" w:cstheme="minorBidi"/>
          <w:szCs w:val="24"/>
          <w:lang w:val="fr-CA" w:eastAsia="en-US"/>
        </w:rPr>
      </w:pPr>
    </w:p>
    <w:p w14:paraId="211E9B72" w14:textId="77777777" w:rsidR="00DE4A9F" w:rsidRPr="00DE4A9F" w:rsidRDefault="00DE4A9F" w:rsidP="00DE4A9F">
      <w:pPr>
        <w:rPr>
          <w:rFonts w:eastAsiaTheme="minorHAnsi" w:cstheme="minorBidi"/>
          <w:szCs w:val="24"/>
          <w:lang w:val="fr-CA" w:eastAsia="en-US"/>
        </w:rPr>
      </w:pPr>
    </w:p>
    <w:p w14:paraId="2E3E25AE" w14:textId="77777777" w:rsidR="00DE4A9F" w:rsidRPr="00DE4A9F" w:rsidRDefault="00DE4A9F" w:rsidP="00DE4A9F">
      <w:pPr>
        <w:rPr>
          <w:rFonts w:eastAsiaTheme="minorHAnsi" w:cstheme="minorBidi"/>
          <w:szCs w:val="24"/>
          <w:lang w:val="fr-CA" w:eastAsia="en-US"/>
        </w:rPr>
      </w:pPr>
      <w:r w:rsidRPr="00DE4A9F">
        <w:rPr>
          <w:rFonts w:eastAsiaTheme="minorHAnsi" w:cstheme="minorBidi"/>
          <w:b/>
          <w:smallCaps/>
          <w:szCs w:val="24"/>
          <w:lang w:val="fr-CA" w:eastAsia="en-US"/>
        </w:rPr>
        <w:t>Note :</w:t>
      </w:r>
      <w:r w:rsidRPr="00DE4A9F">
        <w:rPr>
          <w:rFonts w:eastAsiaTheme="minorHAnsi" w:cstheme="minorBidi"/>
          <w:b/>
          <w:szCs w:val="24"/>
          <w:lang w:val="fr-CA" w:eastAsia="en-US"/>
        </w:rPr>
        <w:t xml:space="preserve"> </w:t>
      </w:r>
      <w:r w:rsidRPr="00DE4A9F">
        <w:rPr>
          <w:rFonts w:eastAsiaTheme="minorHAnsi" w:cstheme="minorBidi"/>
          <w:szCs w:val="24"/>
          <w:lang w:val="fr-CA" w:eastAsia="en-US"/>
        </w:rPr>
        <w:t xml:space="preserve">Ce document fera l’objet de retouches de forme avant la parution de sa version définitive dans le </w:t>
      </w:r>
      <w:r w:rsidRPr="00DE4A9F">
        <w:rPr>
          <w:rFonts w:eastAsiaTheme="minorHAnsi" w:cstheme="minorBidi"/>
          <w:i/>
          <w:szCs w:val="24"/>
          <w:lang w:val="fr-CA" w:eastAsia="en-US"/>
        </w:rPr>
        <w:t>Recueil des arrêts de la Cour suprême du Canada</w:t>
      </w:r>
      <w:r w:rsidRPr="00DE4A9F">
        <w:rPr>
          <w:rFonts w:eastAsiaTheme="minorHAnsi" w:cstheme="minorBidi"/>
          <w:szCs w:val="24"/>
          <w:lang w:val="fr-CA" w:eastAsia="en-US"/>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DE4A9F" w:rsidRPr="00DE4A9F" w14:paraId="6EBD57BB" w14:textId="77777777" w:rsidTr="00B23466">
        <w:tc>
          <w:tcPr>
            <w:tcW w:w="1500" w:type="pct"/>
            <w:tcMar>
              <w:top w:w="284" w:type="dxa"/>
            </w:tcMar>
          </w:tcPr>
          <w:p w14:paraId="21383FB5" w14:textId="77777777" w:rsidR="00DE4A9F" w:rsidRPr="00DE4A9F" w:rsidRDefault="00DE4A9F" w:rsidP="00DE4A9F">
            <w:pPr>
              <w:rPr>
                <w:lang w:val="fr-CA"/>
              </w:rPr>
            </w:pPr>
          </w:p>
        </w:tc>
        <w:tc>
          <w:tcPr>
            <w:tcW w:w="2000" w:type="pct"/>
            <w:tcBorders>
              <w:bottom w:val="single" w:sz="4" w:space="0" w:color="auto"/>
            </w:tcBorders>
            <w:tcMar>
              <w:top w:w="284" w:type="dxa"/>
            </w:tcMar>
          </w:tcPr>
          <w:p w14:paraId="05F0BEC6" w14:textId="77777777" w:rsidR="00DE4A9F" w:rsidRPr="00DE4A9F" w:rsidRDefault="00DE4A9F" w:rsidP="00DE4A9F">
            <w:pPr>
              <w:rPr>
                <w:lang w:val="fr-CA"/>
              </w:rPr>
            </w:pPr>
          </w:p>
        </w:tc>
        <w:tc>
          <w:tcPr>
            <w:tcW w:w="1500" w:type="pct"/>
            <w:tcMar>
              <w:top w:w="284" w:type="dxa"/>
            </w:tcMar>
          </w:tcPr>
          <w:p w14:paraId="7FD3785C" w14:textId="77777777" w:rsidR="00DE4A9F" w:rsidRPr="00DE4A9F" w:rsidRDefault="00DE4A9F" w:rsidP="00DE4A9F">
            <w:pPr>
              <w:rPr>
                <w:lang w:val="fr-CA"/>
              </w:rPr>
            </w:pPr>
          </w:p>
        </w:tc>
      </w:tr>
    </w:tbl>
    <w:p w14:paraId="70DB99F1" w14:textId="77777777" w:rsidR="00DE4A9F" w:rsidRPr="00DE4A9F" w:rsidRDefault="00DE4A9F" w:rsidP="00DE4A9F">
      <w:pPr>
        <w:rPr>
          <w:rFonts w:eastAsiaTheme="minorHAnsi" w:cstheme="minorBidi"/>
          <w:szCs w:val="24"/>
          <w:lang w:val="fr-CA" w:eastAsia="en-US"/>
        </w:rPr>
      </w:pPr>
    </w:p>
    <w:p w14:paraId="02089650" w14:textId="77777777" w:rsidR="00DE4A9F" w:rsidRPr="00DE4A9F" w:rsidRDefault="00DE4A9F">
      <w:pPr>
        <w:rPr>
          <w:b/>
          <w:szCs w:val="24"/>
          <w:lang w:val="fr-CA"/>
        </w:rPr>
      </w:pPr>
      <w:r w:rsidRPr="00DE4A9F">
        <w:rPr>
          <w:szCs w:val="24"/>
          <w:lang w:val="fr-CA"/>
        </w:rPr>
        <w:br w:type="page"/>
      </w:r>
    </w:p>
    <w:p w14:paraId="2AB58F69" w14:textId="24AFA98F" w:rsidR="00B51476" w:rsidRPr="00DE4A9F" w:rsidRDefault="002937CE" w:rsidP="00C870CA">
      <w:pPr>
        <w:pStyle w:val="SCCLsocLastPartyInRole"/>
        <w:jc w:val="both"/>
        <w:rPr>
          <w:szCs w:val="24"/>
        </w:rPr>
      </w:pPr>
      <w:r w:rsidRPr="00DE4A9F">
        <w:rPr>
          <w:szCs w:val="24"/>
        </w:rPr>
        <w:lastRenderedPageBreak/>
        <w:t>Deborah Carol Riddle</w:t>
      </w:r>
      <w:r w:rsidRPr="00DE4A9F">
        <w:rPr>
          <w:rStyle w:val="SCCLsocPartyRole"/>
          <w:szCs w:val="24"/>
        </w:rPr>
        <w:tab/>
        <w:t>Appelante</w:t>
      </w:r>
    </w:p>
    <w:p w14:paraId="124B676B" w14:textId="77777777" w:rsidR="00B51476" w:rsidRPr="00DE4A9F" w:rsidRDefault="002937CE" w:rsidP="00C870CA">
      <w:pPr>
        <w:pStyle w:val="SCCLsocVersus"/>
        <w:jc w:val="both"/>
        <w:rPr>
          <w:szCs w:val="24"/>
        </w:rPr>
      </w:pPr>
      <w:r w:rsidRPr="00DE4A9F">
        <w:rPr>
          <w:szCs w:val="24"/>
        </w:rPr>
        <w:t>c.</w:t>
      </w:r>
    </w:p>
    <w:p w14:paraId="71CB3727" w14:textId="77777777" w:rsidR="00B51476" w:rsidRPr="00DE4A9F" w:rsidRDefault="002937CE" w:rsidP="00C870CA">
      <w:pPr>
        <w:pStyle w:val="SCCLsocLastPartyInRole"/>
        <w:jc w:val="both"/>
        <w:rPr>
          <w:szCs w:val="24"/>
          <w:lang w:val="fr-FR"/>
        </w:rPr>
      </w:pPr>
      <w:proofErr w:type="gramStart"/>
      <w:r w:rsidRPr="00DE4A9F">
        <w:rPr>
          <w:szCs w:val="24"/>
          <w:lang w:val="fr-FR"/>
        </w:rPr>
        <w:t>ivari</w:t>
      </w:r>
      <w:proofErr w:type="gramEnd"/>
      <w:r w:rsidRPr="00DE4A9F">
        <w:rPr>
          <w:rStyle w:val="SCCLsocPartyRole"/>
          <w:szCs w:val="24"/>
          <w:lang w:val="fr-FR"/>
        </w:rPr>
        <w:tab/>
        <w:t>Intim</w:t>
      </w:r>
      <w:r w:rsidR="00121C88" w:rsidRPr="00DE4A9F">
        <w:rPr>
          <w:rStyle w:val="SCCLsocPartyRole"/>
          <w:szCs w:val="24"/>
          <w:lang w:val="fr-FR"/>
        </w:rPr>
        <w:t>ée</w:t>
      </w:r>
    </w:p>
    <w:p w14:paraId="187C2A1C" w14:textId="0D5E6982" w:rsidR="004D7D95" w:rsidRPr="00DE4A9F" w:rsidRDefault="004D7D95" w:rsidP="00C870CA">
      <w:pPr>
        <w:spacing w:after="720"/>
        <w:jc w:val="both"/>
        <w:rPr>
          <w:b/>
          <w:szCs w:val="24"/>
          <w:lang w:val="fr-FR"/>
        </w:rPr>
      </w:pPr>
      <w:r w:rsidRPr="00DE4A9F">
        <w:rPr>
          <w:b/>
          <w:szCs w:val="24"/>
          <w:lang w:val="fr-CA"/>
        </w:rPr>
        <w:t>Répertorié :</w:t>
      </w:r>
      <w:r w:rsidR="00244B59" w:rsidRPr="00DE4A9F">
        <w:rPr>
          <w:b/>
          <w:szCs w:val="24"/>
          <w:lang w:val="fr-CA"/>
        </w:rPr>
        <w:t xml:space="preserve"> </w:t>
      </w:r>
      <w:r w:rsidRPr="00DE4A9F">
        <w:rPr>
          <w:rStyle w:val="SCCAppellantForIndexChar"/>
          <w:szCs w:val="24"/>
          <w:lang w:val="fr-FR"/>
        </w:rPr>
        <w:t>Riddle</w:t>
      </w:r>
      <w:r w:rsidRPr="00DE4A9F">
        <w:rPr>
          <w:b/>
          <w:szCs w:val="24"/>
          <w:lang w:val="fr-CA"/>
        </w:rPr>
        <w:t xml:space="preserve"> </w:t>
      </w:r>
      <w:r w:rsidRPr="00DE4A9F">
        <w:rPr>
          <w:b/>
          <w:i/>
          <w:szCs w:val="24"/>
          <w:lang w:val="fr-CA"/>
        </w:rPr>
        <w:t>c.</w:t>
      </w:r>
      <w:r w:rsidRPr="00DE4A9F">
        <w:rPr>
          <w:b/>
          <w:szCs w:val="24"/>
          <w:lang w:val="fr-CA"/>
        </w:rPr>
        <w:t xml:space="preserve"> </w:t>
      </w:r>
      <w:r w:rsidRPr="00DE4A9F">
        <w:rPr>
          <w:rStyle w:val="SCCRespondentForIndexChar"/>
          <w:szCs w:val="24"/>
          <w:lang w:val="fr-FR"/>
        </w:rPr>
        <w:t>ivari</w:t>
      </w:r>
    </w:p>
    <w:p w14:paraId="6C9BA2C3" w14:textId="1A394BDF" w:rsidR="004D7D95" w:rsidRPr="00DE4A9F" w:rsidRDefault="00AE0196" w:rsidP="00C870CA">
      <w:pPr>
        <w:pStyle w:val="SCCSystemYear"/>
        <w:spacing w:after="720"/>
        <w:jc w:val="both"/>
        <w:rPr>
          <w:szCs w:val="24"/>
          <w:lang w:val="fr-FR"/>
        </w:rPr>
      </w:pPr>
      <w:r w:rsidRPr="00DE4A9F">
        <w:rPr>
          <w:szCs w:val="24"/>
          <w:lang w:val="fr-FR"/>
        </w:rPr>
        <w:t>2026</w:t>
      </w:r>
      <w:r w:rsidR="004D7D95" w:rsidRPr="00DE4A9F">
        <w:rPr>
          <w:szCs w:val="24"/>
          <w:lang w:val="fr-FR"/>
        </w:rPr>
        <w:t xml:space="preserve"> CSC</w:t>
      </w:r>
      <w:r w:rsidR="00244B59" w:rsidRPr="00DE4A9F">
        <w:rPr>
          <w:szCs w:val="24"/>
          <w:lang w:val="fr-FR"/>
        </w:rPr>
        <w:t xml:space="preserve"> </w:t>
      </w:r>
      <w:r w:rsidR="0067010F" w:rsidRPr="00DE4A9F">
        <w:rPr>
          <w:szCs w:val="24"/>
          <w:lang w:val="fr-FR"/>
        </w:rPr>
        <w:t>9</w:t>
      </w:r>
    </w:p>
    <w:p w14:paraId="775F6F48" w14:textId="423A3A9D" w:rsidR="004D7D95" w:rsidRPr="00DE4A9F" w:rsidRDefault="004D7D95" w:rsidP="00C870CA">
      <w:pPr>
        <w:spacing w:after="720"/>
        <w:jc w:val="both"/>
        <w:rPr>
          <w:szCs w:val="24"/>
          <w:lang w:val="fr-FR"/>
        </w:rPr>
      </w:pPr>
      <w:r w:rsidRPr="00DE4A9F">
        <w:rPr>
          <w:szCs w:val="24"/>
          <w:lang w:val="fr-FR"/>
        </w:rPr>
        <w:t>N</w:t>
      </w:r>
      <w:r w:rsidRPr="00DE4A9F">
        <w:rPr>
          <w:szCs w:val="24"/>
          <w:vertAlign w:val="superscript"/>
          <w:lang w:val="fr-FR"/>
        </w:rPr>
        <w:t>o</w:t>
      </w:r>
      <w:r w:rsidRPr="00DE4A9F">
        <w:rPr>
          <w:szCs w:val="24"/>
          <w:lang w:val="fr-FR"/>
        </w:rPr>
        <w:t xml:space="preserve"> du greffe :</w:t>
      </w:r>
      <w:r w:rsidR="00244B59" w:rsidRPr="00DE4A9F">
        <w:rPr>
          <w:szCs w:val="24"/>
          <w:lang w:val="fr-FR"/>
        </w:rPr>
        <w:t xml:space="preserve"> </w:t>
      </w:r>
      <w:r w:rsidRPr="00DE4A9F">
        <w:rPr>
          <w:szCs w:val="24"/>
          <w:lang w:val="fr-FR"/>
        </w:rPr>
        <w:t>40986.</w:t>
      </w:r>
    </w:p>
    <w:p w14:paraId="226F93D7" w14:textId="4AE5C7F1" w:rsidR="004D7D95" w:rsidRPr="00DE4A9F" w:rsidRDefault="00AE0196" w:rsidP="00C870CA">
      <w:pPr>
        <w:spacing w:after="720"/>
        <w:jc w:val="both"/>
        <w:rPr>
          <w:szCs w:val="24"/>
          <w:lang w:val="fr-FR"/>
        </w:rPr>
      </w:pPr>
      <w:r w:rsidRPr="00DE4A9F">
        <w:rPr>
          <w:szCs w:val="24"/>
          <w:lang w:val="fr-FR"/>
        </w:rPr>
        <w:t>2025</w:t>
      </w:r>
      <w:r w:rsidR="003E36BF" w:rsidRPr="00DE4A9F">
        <w:rPr>
          <w:szCs w:val="24"/>
          <w:lang w:val="fr-FR"/>
        </w:rPr>
        <w:t> </w:t>
      </w:r>
      <w:r w:rsidRPr="00DE4A9F">
        <w:rPr>
          <w:szCs w:val="24"/>
          <w:lang w:val="fr-FR"/>
        </w:rPr>
        <w:t>: 10 octobre</w:t>
      </w:r>
      <w:r w:rsidR="004D7D95" w:rsidRPr="00DE4A9F">
        <w:rPr>
          <w:szCs w:val="24"/>
          <w:lang w:val="fr-FR"/>
        </w:rPr>
        <w:t xml:space="preserve">; </w:t>
      </w:r>
      <w:r w:rsidR="00D21EC0" w:rsidRPr="00DE4A9F">
        <w:rPr>
          <w:szCs w:val="24"/>
          <w:lang w:val="fr-FR"/>
        </w:rPr>
        <w:t xml:space="preserve">2026 : </w:t>
      </w:r>
      <w:r w:rsidR="00606C5C" w:rsidRPr="00DE4A9F">
        <w:rPr>
          <w:szCs w:val="24"/>
          <w:lang w:val="fr-FR"/>
        </w:rPr>
        <w:t>10 avril</w:t>
      </w:r>
      <w:r w:rsidR="004D7D95" w:rsidRPr="00DE4A9F">
        <w:rPr>
          <w:szCs w:val="24"/>
          <w:lang w:val="fr-FR"/>
        </w:rPr>
        <w:t>.</w:t>
      </w:r>
    </w:p>
    <w:p w14:paraId="5AB2959E" w14:textId="1F8DD44B" w:rsidR="004D7D95" w:rsidRPr="00DE4A9F" w:rsidRDefault="004D7D95" w:rsidP="00C870CA">
      <w:pPr>
        <w:spacing w:after="720"/>
        <w:jc w:val="both"/>
        <w:rPr>
          <w:szCs w:val="24"/>
          <w:lang w:val="fr-FR"/>
        </w:rPr>
      </w:pPr>
      <w:r w:rsidRPr="00DE4A9F">
        <w:rPr>
          <w:szCs w:val="24"/>
          <w:lang w:val="fr-FR"/>
        </w:rPr>
        <w:t>Présents :</w:t>
      </w:r>
      <w:r w:rsidR="00244B59" w:rsidRPr="00DE4A9F">
        <w:rPr>
          <w:szCs w:val="24"/>
          <w:lang w:val="fr-FR"/>
        </w:rPr>
        <w:t xml:space="preserve"> </w:t>
      </w:r>
      <w:r w:rsidRPr="00DE4A9F">
        <w:rPr>
          <w:szCs w:val="24"/>
          <w:lang w:val="fr-FR"/>
        </w:rPr>
        <w:t>Le juge en chef Wagner et les juges Karakatsanis, Côté, Rowe, Martin, Kasirer, Jamal, O’Bonsawin et Moreau.</w:t>
      </w:r>
    </w:p>
    <w:p w14:paraId="55FE62F2" w14:textId="77777777" w:rsidR="004D7D95" w:rsidRPr="00DE4A9F" w:rsidRDefault="00D21EC0" w:rsidP="00C870CA">
      <w:pPr>
        <w:spacing w:after="720"/>
        <w:jc w:val="both"/>
        <w:rPr>
          <w:smallCaps/>
          <w:szCs w:val="24"/>
          <w:lang w:val="fr-CA"/>
        </w:rPr>
      </w:pPr>
      <w:r w:rsidRPr="00DE4A9F">
        <w:rPr>
          <w:smallCaps/>
          <w:szCs w:val="24"/>
          <w:lang w:val="fr-CA"/>
        </w:rPr>
        <w:t>en appel de la cour d’appel du québec</w:t>
      </w:r>
    </w:p>
    <w:p w14:paraId="1FDB4A32" w14:textId="5D808B06" w:rsidR="00E577CC" w:rsidRPr="00DE4A9F" w:rsidRDefault="004D7D95" w:rsidP="002007EA">
      <w:pPr>
        <w:pStyle w:val="SCCNormalKeyWords"/>
        <w:spacing w:after="480"/>
        <w:rPr>
          <w:szCs w:val="24"/>
        </w:rPr>
      </w:pPr>
      <w:r w:rsidRPr="00DE4A9F">
        <w:rPr>
          <w:szCs w:val="24"/>
        </w:rPr>
        <w:tab/>
      </w:r>
      <w:r w:rsidR="00E577CC" w:rsidRPr="00DE4A9F">
        <w:rPr>
          <w:szCs w:val="24"/>
        </w:rPr>
        <w:t xml:space="preserve">Droit des personnes </w:t>
      </w:r>
      <w:r w:rsidR="00E577CC" w:rsidRPr="00DE4A9F">
        <w:rPr>
          <w:iCs/>
          <w:szCs w:val="24"/>
        </w:rPr>
        <w:t xml:space="preserve">— </w:t>
      </w:r>
      <w:r w:rsidR="00E577CC" w:rsidRPr="00DE4A9F">
        <w:rPr>
          <w:szCs w:val="24"/>
        </w:rPr>
        <w:t xml:space="preserve">Absence </w:t>
      </w:r>
      <w:r w:rsidR="00E577CC" w:rsidRPr="00DE4A9F">
        <w:rPr>
          <w:iCs/>
          <w:szCs w:val="24"/>
        </w:rPr>
        <w:t xml:space="preserve">— Jugement déclaratif de décès — Présomption de décès — </w:t>
      </w:r>
      <w:r w:rsidR="00E577CC" w:rsidRPr="00DE4A9F">
        <w:rPr>
          <w:szCs w:val="24"/>
        </w:rPr>
        <w:t>Retour</w:t>
      </w:r>
      <w:r w:rsidR="00E577CC" w:rsidRPr="00DE4A9F">
        <w:rPr>
          <w:iCs/>
          <w:szCs w:val="24"/>
        </w:rPr>
        <w:t xml:space="preserve"> — </w:t>
      </w:r>
      <w:r w:rsidR="00E577CC" w:rsidRPr="00DE4A9F">
        <w:rPr>
          <w:szCs w:val="24"/>
        </w:rPr>
        <w:t xml:space="preserve">Preuve </w:t>
      </w:r>
      <w:r w:rsidR="00E577CC" w:rsidRPr="00DE4A9F">
        <w:rPr>
          <w:iCs/>
          <w:szCs w:val="24"/>
        </w:rPr>
        <w:t>—</w:t>
      </w:r>
      <w:r w:rsidR="00E577CC" w:rsidRPr="00DE4A9F">
        <w:rPr>
          <w:szCs w:val="24"/>
        </w:rPr>
        <w:t xml:space="preserve"> Annulation d’un jugement déclaratif de décès demandée par une compagnie d’assurance-vie </w:t>
      </w:r>
      <w:r w:rsidR="00E577CC" w:rsidRPr="00DE4A9F">
        <w:rPr>
          <w:iCs/>
          <w:szCs w:val="24"/>
        </w:rPr>
        <w:t>—</w:t>
      </w:r>
      <w:r w:rsidR="00E577CC" w:rsidRPr="00DE4A9F">
        <w:rPr>
          <w:szCs w:val="24"/>
        </w:rPr>
        <w:t xml:space="preserve"> Preuve déposée par la compagnie d’assurance-vie portant que la personne déclarée décédée est toujours en vie dans un autre pays </w:t>
      </w:r>
      <w:r w:rsidR="00E577CC" w:rsidRPr="00DE4A9F">
        <w:rPr>
          <w:iCs/>
          <w:szCs w:val="24"/>
        </w:rPr>
        <w:t xml:space="preserve">— </w:t>
      </w:r>
      <w:r w:rsidR="00E577CC" w:rsidRPr="00DE4A9F">
        <w:rPr>
          <w:szCs w:val="24"/>
        </w:rPr>
        <w:t xml:space="preserve">Annulation accordée par la juge </w:t>
      </w:r>
      <w:r w:rsidR="0094007C" w:rsidRPr="00DE4A9F">
        <w:rPr>
          <w:szCs w:val="24"/>
        </w:rPr>
        <w:t>saisie de la demande</w:t>
      </w:r>
      <w:r w:rsidR="00E577CC" w:rsidRPr="00DE4A9F">
        <w:rPr>
          <w:szCs w:val="24"/>
        </w:rPr>
        <w:t xml:space="preserve"> </w:t>
      </w:r>
      <w:r w:rsidR="00E577CC" w:rsidRPr="00DE4A9F">
        <w:rPr>
          <w:iCs/>
          <w:szCs w:val="24"/>
        </w:rPr>
        <w:t xml:space="preserve">— </w:t>
      </w:r>
      <w:r w:rsidR="00E577CC" w:rsidRPr="00DE4A9F">
        <w:rPr>
          <w:szCs w:val="24"/>
        </w:rPr>
        <w:t xml:space="preserve">La juge </w:t>
      </w:r>
      <w:r w:rsidR="0094007C" w:rsidRPr="00DE4A9F">
        <w:rPr>
          <w:szCs w:val="24"/>
        </w:rPr>
        <w:t>saisie de la demande</w:t>
      </w:r>
      <w:r w:rsidR="00E577CC" w:rsidRPr="00DE4A9F">
        <w:rPr>
          <w:szCs w:val="24"/>
        </w:rPr>
        <w:t xml:space="preserve"> a-t-elle commis une erreur dans la détermination du cadre </w:t>
      </w:r>
      <w:r w:rsidR="00E577CC" w:rsidRPr="00DE4A9F">
        <w:rPr>
          <w:szCs w:val="24"/>
        </w:rPr>
        <w:lastRenderedPageBreak/>
        <w:t>juridique applicable à la preuve du retour de la personne déclarée décédée</w:t>
      </w:r>
      <w:r w:rsidR="00E577CC" w:rsidRPr="00DE4A9F">
        <w:rPr>
          <w:szCs w:val="24"/>
          <w:lang w:val="fr-FR"/>
        </w:rPr>
        <w:t xml:space="preserve">? </w:t>
      </w:r>
      <w:r w:rsidR="00E577CC" w:rsidRPr="00DE4A9F">
        <w:rPr>
          <w:iCs/>
          <w:szCs w:val="24"/>
        </w:rPr>
        <w:t>—</w:t>
      </w:r>
      <w:r w:rsidR="00E577CC" w:rsidRPr="00DE4A9F">
        <w:rPr>
          <w:szCs w:val="24"/>
        </w:rPr>
        <w:t xml:space="preserve"> Code civil du Québec, art. 92, 97, 98.</w:t>
      </w:r>
    </w:p>
    <w:p w14:paraId="1B26BDFA" w14:textId="104843FA" w:rsidR="004D7D95" w:rsidRPr="00DE4A9F" w:rsidRDefault="00E577CC" w:rsidP="002007EA">
      <w:pPr>
        <w:pStyle w:val="SCCNormalKeyWords"/>
        <w:spacing w:after="480"/>
        <w:rPr>
          <w:szCs w:val="24"/>
          <w:lang w:val="fr-FR"/>
        </w:rPr>
      </w:pPr>
      <w:r w:rsidRPr="00DE4A9F">
        <w:rPr>
          <w:iCs/>
          <w:szCs w:val="24"/>
          <w:lang w:val="fr-FR"/>
        </w:rPr>
        <w:tab/>
        <w:t xml:space="preserve">Procédure civile — </w:t>
      </w:r>
      <w:r w:rsidRPr="00DE4A9F">
        <w:rPr>
          <w:szCs w:val="24"/>
          <w:lang w:val="fr-FR"/>
        </w:rPr>
        <w:t xml:space="preserve">Vice procédural </w:t>
      </w:r>
      <w:r w:rsidRPr="00DE4A9F">
        <w:rPr>
          <w:iCs/>
          <w:szCs w:val="24"/>
          <w:lang w:val="fr-FR"/>
        </w:rPr>
        <w:t>—</w:t>
      </w:r>
      <w:r w:rsidRPr="00DE4A9F">
        <w:rPr>
          <w:szCs w:val="24"/>
          <w:lang w:val="fr-FR"/>
        </w:rPr>
        <w:t xml:space="preserve"> </w:t>
      </w:r>
      <w:r w:rsidRPr="00DE4A9F">
        <w:rPr>
          <w:iCs/>
          <w:szCs w:val="24"/>
          <w:lang w:val="fr-FR"/>
        </w:rPr>
        <w:t xml:space="preserve">Signification — Défaut de signifier la procédure en annulation de jugement déclaratif de décès à la personne déclarée décédée — La personne déclarée décédée doit-elle recevoir signification du recours d’un tiers relatif à son </w:t>
      </w:r>
      <w:proofErr w:type="gramStart"/>
      <w:r w:rsidRPr="00DE4A9F">
        <w:rPr>
          <w:iCs/>
          <w:szCs w:val="24"/>
          <w:lang w:val="fr-FR"/>
        </w:rPr>
        <w:t>retour?</w:t>
      </w:r>
      <w:proofErr w:type="gramEnd"/>
      <w:r w:rsidRPr="00DE4A9F">
        <w:rPr>
          <w:iCs/>
          <w:szCs w:val="24"/>
          <w:lang w:val="fr-FR"/>
        </w:rPr>
        <w:t xml:space="preserve"> —</w:t>
      </w:r>
      <w:r w:rsidRPr="00DE4A9F">
        <w:rPr>
          <w:szCs w:val="24"/>
          <w:lang w:val="fr-FR"/>
        </w:rPr>
        <w:t xml:space="preserve"> Code de procédure civile, RLRQ, c. C-25.01, art. 140.</w:t>
      </w:r>
    </w:p>
    <w:p w14:paraId="03509828" w14:textId="7E791AE4" w:rsidR="00E577CC" w:rsidRPr="00DE4A9F" w:rsidRDefault="004D7D95" w:rsidP="002007EA">
      <w:pPr>
        <w:pStyle w:val="SCCNormalDoubleSpacing"/>
        <w:spacing w:after="480"/>
        <w:rPr>
          <w:szCs w:val="24"/>
          <w:lang w:val="fr-CA"/>
        </w:rPr>
      </w:pPr>
      <w:r w:rsidRPr="00DE4A9F">
        <w:rPr>
          <w:szCs w:val="24"/>
          <w:lang w:val="fr-CA"/>
        </w:rPr>
        <w:tab/>
      </w:r>
      <w:r w:rsidR="00E577CC" w:rsidRPr="00DE4A9F">
        <w:rPr>
          <w:szCs w:val="24"/>
          <w:lang w:val="fr-CA"/>
        </w:rPr>
        <w:t xml:space="preserve">Originaire d’Iran, I réside à Brossard, au Québec, avec sa conjointe R. En 2006, il souscrit à une police d’assurance-vie auprès d’un assureur. Le 17 février 2008, I indique aux membres de sa famille qu’il doit se rendre à Toronto pour affaires. </w:t>
      </w:r>
      <w:r w:rsidR="00E577CC" w:rsidRPr="00DE4A9F">
        <w:rPr>
          <w:szCs w:val="24"/>
          <w:lang w:val="fr-FR"/>
        </w:rPr>
        <w:t xml:space="preserve">Il quitte son domicile mais ne revient pas. </w:t>
      </w:r>
      <w:r w:rsidR="00E577CC" w:rsidRPr="00DE4A9F">
        <w:rPr>
          <w:szCs w:val="24"/>
          <w:lang w:val="fr-CA"/>
        </w:rPr>
        <w:t>Une enquête policière révèle qu’il ne s’est jamais rendu à Toronto</w:t>
      </w:r>
      <w:r w:rsidR="00E577CC" w:rsidRPr="00DE4A9F">
        <w:rPr>
          <w:szCs w:val="24"/>
          <w:lang w:val="fr-FR"/>
        </w:rPr>
        <w:t>.</w:t>
      </w:r>
      <w:r w:rsidR="00E577CC" w:rsidRPr="00DE4A9F">
        <w:rPr>
          <w:szCs w:val="24"/>
          <w:lang w:val="fr-CA"/>
        </w:rPr>
        <w:t xml:space="preserve"> Il n’a plus jamais été revu par sa famille.</w:t>
      </w:r>
    </w:p>
    <w:p w14:paraId="36F480BC" w14:textId="07B6FF36" w:rsidR="00E577CC" w:rsidRPr="00DE4A9F" w:rsidRDefault="00E577CC" w:rsidP="002007EA">
      <w:pPr>
        <w:pStyle w:val="SCCNormalDoubleSpacing"/>
        <w:spacing w:after="480"/>
        <w:rPr>
          <w:szCs w:val="24"/>
          <w:lang w:val="fr-CA"/>
        </w:rPr>
      </w:pPr>
      <w:r w:rsidRPr="00DE4A9F">
        <w:rPr>
          <w:szCs w:val="24"/>
          <w:lang w:val="fr-CA"/>
        </w:rPr>
        <w:tab/>
        <w:t xml:space="preserve">En 2016, R s’adresse aux tribunaux afin d’obtenir un jugement déclarant le décès de I en vertu de l’art. 92 al. 1 du </w:t>
      </w:r>
      <w:r w:rsidRPr="00DE4A9F">
        <w:rPr>
          <w:i/>
          <w:szCs w:val="24"/>
          <w:lang w:val="fr-CA"/>
        </w:rPr>
        <w:t>Code civil du Québec.</w:t>
      </w:r>
      <w:r w:rsidRPr="00DE4A9F">
        <w:rPr>
          <w:szCs w:val="24"/>
          <w:lang w:val="fr-CA"/>
        </w:rPr>
        <w:t xml:space="preserve"> L’assureur s’oppose au prononcé du jugement déclaratif de décès, soutenant que les circonstances entourant la disparition de I tendent plutôt à indiquer que ce dernier aurait pris la fuite. Le décès de I est cependant déclaré, puisque les circonstances entourant sa disparition ne peuvent faire obstacle au prononcé d’un jugement déclaratif de décès dès lors qu’il s’est écoulé sept ans depuis que la personne disparue est absente sans donner de nouvelles.</w:t>
      </w:r>
    </w:p>
    <w:p w14:paraId="5BB7A555" w14:textId="4F6D3DF2" w:rsidR="004D7D95" w:rsidRPr="00DE4A9F" w:rsidRDefault="00E577CC" w:rsidP="002007EA">
      <w:pPr>
        <w:pStyle w:val="SCCNormalDoubleSpacing"/>
        <w:spacing w:after="480"/>
        <w:rPr>
          <w:szCs w:val="24"/>
          <w:lang w:val="fr-CA"/>
        </w:rPr>
      </w:pPr>
      <w:r w:rsidRPr="00DE4A9F">
        <w:rPr>
          <w:szCs w:val="24"/>
          <w:lang w:val="fr-CA"/>
        </w:rPr>
        <w:lastRenderedPageBreak/>
        <w:tab/>
        <w:t xml:space="preserve">L’assureur saisit toutefois la Cour supérieure d’une demande d’annulation du jugement déclarant le décès de I, </w:t>
      </w:r>
      <w:r w:rsidRPr="00DE4A9F">
        <w:rPr>
          <w:szCs w:val="24"/>
          <w:lang w:val="fr-FR"/>
        </w:rPr>
        <w:t xml:space="preserve">en vertu de l’art. 98 </w:t>
      </w:r>
      <w:r w:rsidRPr="00DE4A9F">
        <w:rPr>
          <w:i/>
          <w:szCs w:val="24"/>
          <w:lang w:val="fr-FR"/>
        </w:rPr>
        <w:t>C.c.Q.</w:t>
      </w:r>
      <w:r w:rsidRPr="00DE4A9F">
        <w:rPr>
          <w:szCs w:val="24"/>
          <w:lang w:val="fr-FR"/>
        </w:rPr>
        <w:t>,</w:t>
      </w:r>
      <w:r w:rsidRPr="00DE4A9F">
        <w:rPr>
          <w:szCs w:val="24"/>
          <w:lang w:val="fr-CA"/>
        </w:rPr>
        <w:t xml:space="preserve"> </w:t>
      </w:r>
      <w:r w:rsidRPr="00DE4A9F">
        <w:rPr>
          <w:szCs w:val="24"/>
          <w:lang w:val="fr-FR"/>
        </w:rPr>
        <w:t>mais fait</w:t>
      </w:r>
      <w:r w:rsidRPr="00DE4A9F">
        <w:rPr>
          <w:szCs w:val="24"/>
          <w:lang w:val="fr-CA"/>
        </w:rPr>
        <w:t xml:space="preserve"> défaut de signifier la procédure à ce dernier. L’assureur présente de nouveaux éléments de preuve selon lesquels I se serait rendu en Iran où il résiderait toujours depuis son départ du Québec. À la lumière de cette preuve, la juge de première instance annule le jugement déclaratif de décès et conclut que l’assureur a établi, selon la prépondérance des probabilités, le « retour » de la personne déclarée décédée. La juge de première instance rejette également l’argument de R selon lequel la demande ne pouvait être instruite en l’absence de signification à I. La décision de la juge de première instance est, pour l’essentiel, confirmée par la Cour d’appel.</w:t>
      </w:r>
    </w:p>
    <w:p w14:paraId="75A4CDE3" w14:textId="1E69B45E" w:rsidR="004D7D95" w:rsidRPr="00DE4A9F" w:rsidRDefault="00364C65" w:rsidP="002007EA">
      <w:pPr>
        <w:pStyle w:val="SCCNormalDoubleSpacing"/>
        <w:spacing w:after="480"/>
        <w:rPr>
          <w:szCs w:val="24"/>
          <w:lang w:val="fr-CA"/>
        </w:rPr>
      </w:pPr>
      <w:r w:rsidRPr="00DE4A9F">
        <w:rPr>
          <w:szCs w:val="24"/>
          <w:lang w:val="fr-CA"/>
        </w:rPr>
        <w:tab/>
      </w:r>
      <w:r w:rsidRPr="00DE4A9F">
        <w:rPr>
          <w:i/>
          <w:szCs w:val="24"/>
          <w:lang w:val="fr-CA"/>
        </w:rPr>
        <w:t>Arrêt</w:t>
      </w:r>
      <w:r w:rsidRPr="00DE4A9F">
        <w:rPr>
          <w:szCs w:val="24"/>
          <w:lang w:val="fr-CA"/>
        </w:rPr>
        <w:t> </w:t>
      </w:r>
      <w:r w:rsidR="004D7D95" w:rsidRPr="00DE4A9F">
        <w:rPr>
          <w:rStyle w:val="CitationCar"/>
          <w:i w:val="0"/>
          <w:color w:val="auto"/>
          <w:szCs w:val="24"/>
          <w:lang w:val="fr-CA"/>
        </w:rPr>
        <w:t>:</w:t>
      </w:r>
      <w:r w:rsidR="004D7D95" w:rsidRPr="00DE4A9F">
        <w:rPr>
          <w:szCs w:val="24"/>
          <w:lang w:val="fr-CA"/>
        </w:rPr>
        <w:t xml:space="preserve"> Le pourvoi est</w:t>
      </w:r>
      <w:r w:rsidR="00E577CC" w:rsidRPr="00DE4A9F">
        <w:rPr>
          <w:szCs w:val="24"/>
          <w:lang w:val="fr-CA"/>
        </w:rPr>
        <w:t xml:space="preserve"> rejeté.</w:t>
      </w:r>
    </w:p>
    <w:p w14:paraId="799E0130" w14:textId="3B597260" w:rsidR="00E577CC" w:rsidRPr="00DE4A9F" w:rsidRDefault="004D7D95" w:rsidP="002007EA">
      <w:pPr>
        <w:pStyle w:val="SCCNormalDoubleSpacing"/>
        <w:spacing w:after="480"/>
        <w:rPr>
          <w:szCs w:val="24"/>
          <w:lang w:val="fr-FR"/>
        </w:rPr>
      </w:pPr>
      <w:r w:rsidRPr="00DE4A9F">
        <w:rPr>
          <w:szCs w:val="24"/>
          <w:lang w:val="fr-CA"/>
        </w:rPr>
        <w:tab/>
      </w:r>
      <w:r w:rsidR="00E577CC" w:rsidRPr="00DE4A9F">
        <w:rPr>
          <w:szCs w:val="24"/>
          <w:lang w:val="fr-CA"/>
        </w:rPr>
        <w:t xml:space="preserve">Compte tenu des circonstances particulières de l’affaire, nommément le fait que I n’a subi aucun préjudice en raison de cette irrégularité, le vice de procédure qu’est l’absence de signification </w:t>
      </w:r>
      <w:r w:rsidR="00E577CC" w:rsidRPr="00DE4A9F">
        <w:rPr>
          <w:szCs w:val="24"/>
          <w:lang w:val="fr-FR"/>
        </w:rPr>
        <w:t xml:space="preserve">n’a pas pour effet d’entraîner le rejet de la demande en annulation du jugement déclaratif de décès et la nullité des décisions subséquentes. Par ailleurs, la juge de première instance, tout comme la Cour d’appel, n’a commis aucune erreur dans la détermination du cadre juridique applicable à la preuve du retour de la personne déclarée décédée. La juge de première instance n’a pas non plus commis </w:t>
      </w:r>
      <w:r w:rsidR="00E577CC" w:rsidRPr="00DE4A9F">
        <w:rPr>
          <w:szCs w:val="24"/>
          <w:lang w:val="fr-CA"/>
        </w:rPr>
        <w:t>d’</w:t>
      </w:r>
      <w:r w:rsidR="00E577CC" w:rsidRPr="00DE4A9F">
        <w:rPr>
          <w:szCs w:val="24"/>
          <w:lang w:val="fr-FR"/>
        </w:rPr>
        <w:t>erreur manifeste et déterminante dans l’évaluation de la preuve de l’existence actuelle de I justifiant une intervention de la Cour.</w:t>
      </w:r>
    </w:p>
    <w:p w14:paraId="527347FF" w14:textId="77777777" w:rsidR="00E577CC" w:rsidRPr="00DE4A9F" w:rsidRDefault="00E577CC" w:rsidP="002007EA">
      <w:pPr>
        <w:pStyle w:val="SCCNormalDoubleSpacing"/>
        <w:spacing w:after="480"/>
        <w:rPr>
          <w:szCs w:val="24"/>
          <w:lang w:val="fr-CA"/>
        </w:rPr>
      </w:pPr>
      <w:r w:rsidRPr="00DE4A9F">
        <w:rPr>
          <w:szCs w:val="24"/>
          <w:lang w:val="fr-FR"/>
        </w:rPr>
        <w:lastRenderedPageBreak/>
        <w:tab/>
        <w:t xml:space="preserve">Le </w:t>
      </w:r>
      <w:r w:rsidRPr="00DE4A9F">
        <w:rPr>
          <w:i/>
          <w:szCs w:val="24"/>
          <w:lang w:val="fr-FR"/>
        </w:rPr>
        <w:t>Code de procédure civile</w:t>
      </w:r>
      <w:r w:rsidRPr="00DE4A9F">
        <w:rPr>
          <w:szCs w:val="24"/>
          <w:lang w:val="fr-FR"/>
        </w:rPr>
        <w:t xml:space="preserve"> ne prévoit aucune sanction spécifique en cas de défaut de signification d’une demande introductive d’instance conformément </w:t>
      </w:r>
      <w:r w:rsidRPr="00DE4A9F">
        <w:rPr>
          <w:szCs w:val="24"/>
          <w:lang w:val="fr-CA"/>
        </w:rPr>
        <w:t>à l’art. 140</w:t>
      </w:r>
      <w:r w:rsidRPr="00DE4A9F">
        <w:rPr>
          <w:szCs w:val="24"/>
          <w:lang w:val="fr-FR"/>
        </w:rPr>
        <w:t xml:space="preserve">. </w:t>
      </w:r>
      <w:r w:rsidRPr="00DE4A9F">
        <w:rPr>
          <w:szCs w:val="24"/>
          <w:lang w:val="fr-CA"/>
        </w:rPr>
        <w:t>La détermination de la sanction éventuellement applicable à un</w:t>
      </w:r>
      <w:r w:rsidRPr="00DE4A9F">
        <w:rPr>
          <w:szCs w:val="24"/>
          <w:lang w:val="fr-FR"/>
        </w:rPr>
        <w:t xml:space="preserve"> tel</w:t>
      </w:r>
      <w:r w:rsidRPr="00DE4A9F">
        <w:rPr>
          <w:szCs w:val="24"/>
          <w:lang w:val="fr-CA"/>
        </w:rPr>
        <w:t xml:space="preserve"> manquement demeure contextuelle : elle doit tenir compte des conséquences concrètes et prévisibles du défaut, non seulement pour les parties et les tiers, mais pour l’intégrité du processus judiciaire en tant que tel. Ce n’est que lorsque l’absence de signification est de nature à déconsidérer l’administration de la justice — notamment en privant une personne intéressée de la possibilité de participer au débat judiciaire — que le tribunal peut refuser d’entendre une procédure qui n’a pas été notifiée ou l’a été irrégulièrement.</w:t>
      </w:r>
    </w:p>
    <w:p w14:paraId="65FBDAD2" w14:textId="77777777" w:rsidR="00E577CC" w:rsidRPr="00DE4A9F" w:rsidRDefault="00E577CC" w:rsidP="002007EA">
      <w:pPr>
        <w:pStyle w:val="SCCNormalDoubleSpacing"/>
        <w:spacing w:after="480"/>
        <w:rPr>
          <w:szCs w:val="24"/>
          <w:lang w:val="fr-FR"/>
        </w:rPr>
      </w:pPr>
      <w:r w:rsidRPr="00DE4A9F">
        <w:rPr>
          <w:szCs w:val="24"/>
          <w:lang w:val="fr-CA"/>
        </w:rPr>
        <w:tab/>
      </w:r>
      <w:bookmarkStart w:id="0" w:name="_Hlk221799846"/>
      <w:r w:rsidRPr="00DE4A9F">
        <w:rPr>
          <w:szCs w:val="24"/>
          <w:lang w:val="fr-CA"/>
        </w:rPr>
        <w:t xml:space="preserve">Les difficultés pratiques qui peuvent entourer la signification, en raison par exemple de l’éloignement d’un individu ou de l’absence d’adresse connue, ne dégagent pas une partie de son obligation de porter à l’attention d’une autre partie ou de toute personne intéressée l’existence d’une procédure susceptible d’affecter leurs droits. </w:t>
      </w:r>
      <w:bookmarkEnd w:id="0"/>
      <w:r w:rsidRPr="00DE4A9F">
        <w:rPr>
          <w:szCs w:val="24"/>
          <w:lang w:val="fr-FR"/>
        </w:rPr>
        <w:t>Cependant, une demande en annulation d’un jugement déclaratif de décès, une procédure normalement non contentieuse, constitue une exception par rapport aux procédures judiciaires habituelles en ce sens qu’elle ne requiert pas que la personne déclarée décédée fasse valoir ses observations ou ses prétentions. En l’espèce, aucun moyen avancé par I n’aurait pu changer l’issue du recours. L’absence de signification n’a donc pas causé de préjudice à I ni compromis plus généralement l’intégrité du processus judiciaire et ne saurait justifier le rejet du recours.</w:t>
      </w:r>
    </w:p>
    <w:p w14:paraId="3AB3AD5F" w14:textId="334D7EC6" w:rsidR="00E577CC" w:rsidRPr="00DE4A9F" w:rsidRDefault="00E577CC" w:rsidP="002007EA">
      <w:pPr>
        <w:pStyle w:val="SCCNormalDoubleSpacing"/>
        <w:spacing w:after="480"/>
        <w:rPr>
          <w:szCs w:val="24"/>
          <w:lang w:val="fr-FR"/>
        </w:rPr>
      </w:pPr>
      <w:r w:rsidRPr="00DE4A9F">
        <w:rPr>
          <w:szCs w:val="24"/>
          <w:lang w:val="fr-CA"/>
        </w:rPr>
        <w:lastRenderedPageBreak/>
        <w:tab/>
        <w:t xml:space="preserve">En ce qui concerne </w:t>
      </w:r>
      <w:r w:rsidRPr="00DE4A9F">
        <w:rPr>
          <w:szCs w:val="24"/>
          <w:lang w:val="fr-FR"/>
        </w:rPr>
        <w:t xml:space="preserve">la preuve du retour d’une personne déclarée décédée, </w:t>
      </w:r>
      <w:r w:rsidRPr="00DE4A9F">
        <w:rPr>
          <w:szCs w:val="24"/>
          <w:lang w:val="fr-CA"/>
        </w:rPr>
        <w:t>celle-ci</w:t>
      </w:r>
      <w:r w:rsidRPr="00DE4A9F">
        <w:rPr>
          <w:szCs w:val="24"/>
          <w:lang w:val="fr-FR"/>
        </w:rPr>
        <w:t xml:space="preserve"> peut résulter de toute manifestation contemporaine qui rend plus probable qu’improbable l’existence actuelle de la personne disparue. Le jugement déclaratif de décès présume le décès de l’absent, il ne l’établit pas. </w:t>
      </w:r>
      <w:r w:rsidRPr="00DE4A9F">
        <w:rPr>
          <w:szCs w:val="24"/>
          <w:lang w:val="fr-CA"/>
        </w:rPr>
        <w:t>Ce</w:t>
      </w:r>
      <w:r w:rsidRPr="00DE4A9F">
        <w:rPr>
          <w:szCs w:val="24"/>
          <w:lang w:val="fr-FR"/>
        </w:rPr>
        <w:t xml:space="preserve"> jugement est une fiction et doit toujours céder devant la preuve de l’existence actuelle de la personne disparue. Le </w:t>
      </w:r>
      <w:r w:rsidRPr="00DE4A9F">
        <w:rPr>
          <w:i/>
          <w:szCs w:val="24"/>
          <w:lang w:val="fr-FR"/>
        </w:rPr>
        <w:t>Code</w:t>
      </w:r>
      <w:r w:rsidRPr="00DE4A9F">
        <w:rPr>
          <w:szCs w:val="24"/>
          <w:lang w:val="fr-FR"/>
        </w:rPr>
        <w:t xml:space="preserve"> </w:t>
      </w:r>
      <w:r w:rsidRPr="00DE4A9F">
        <w:rPr>
          <w:i/>
          <w:szCs w:val="24"/>
          <w:lang w:val="fr-FR"/>
        </w:rPr>
        <w:t>civil du Québec</w:t>
      </w:r>
      <w:r w:rsidRPr="00DE4A9F">
        <w:rPr>
          <w:szCs w:val="24"/>
          <w:lang w:val="fr-FR"/>
        </w:rPr>
        <w:t xml:space="preserve"> envisage toujours la possibilité du retour de l’absent et en aménage les effets. Lorsque l’absent revient apr</w:t>
      </w:r>
      <w:r w:rsidRPr="00DE4A9F">
        <w:rPr>
          <w:szCs w:val="24"/>
          <w:lang w:val="fr-CA"/>
        </w:rPr>
        <w:t xml:space="preserve">ès le prononcé du jugement déclaratif de décès, les art. 97 et suiv. </w:t>
      </w:r>
      <w:r w:rsidRPr="00DE4A9F">
        <w:rPr>
          <w:i/>
          <w:szCs w:val="24"/>
          <w:lang w:val="fr-CA"/>
        </w:rPr>
        <w:t xml:space="preserve">C.c.Q. </w:t>
      </w:r>
      <w:r w:rsidRPr="00DE4A9F">
        <w:rPr>
          <w:szCs w:val="24"/>
          <w:lang w:val="fr-CA"/>
        </w:rPr>
        <w:t xml:space="preserve">organisent les conséquences </w:t>
      </w:r>
      <w:r w:rsidRPr="00DE4A9F">
        <w:rPr>
          <w:szCs w:val="24"/>
          <w:lang w:val="fr-FR"/>
        </w:rPr>
        <w:t xml:space="preserve">de son retour, </w:t>
      </w:r>
      <w:r w:rsidRPr="00DE4A9F">
        <w:rPr>
          <w:szCs w:val="24"/>
          <w:lang w:val="fr-CA"/>
        </w:rPr>
        <w:t>lequel</w:t>
      </w:r>
      <w:r w:rsidRPr="00DE4A9F">
        <w:rPr>
          <w:szCs w:val="24"/>
          <w:lang w:val="fr-FR"/>
        </w:rPr>
        <w:t xml:space="preserve"> renverse </w:t>
      </w:r>
      <w:r w:rsidRPr="00DE4A9F">
        <w:rPr>
          <w:szCs w:val="24"/>
          <w:lang w:val="fr-CA"/>
        </w:rPr>
        <w:t>alors</w:t>
      </w:r>
      <w:r w:rsidRPr="00DE4A9F">
        <w:rPr>
          <w:szCs w:val="24"/>
          <w:lang w:val="fr-FR"/>
        </w:rPr>
        <w:t xml:space="preserve"> la présomption de décès.</w:t>
      </w:r>
    </w:p>
    <w:p w14:paraId="49350A8D" w14:textId="3E07CA44" w:rsidR="00E577CC" w:rsidRPr="00DE4A9F" w:rsidRDefault="00E577CC" w:rsidP="002007EA">
      <w:pPr>
        <w:pStyle w:val="SCCNormalDoubleSpacing"/>
        <w:spacing w:after="480"/>
        <w:rPr>
          <w:szCs w:val="24"/>
          <w:lang w:val="fr-CA"/>
        </w:rPr>
      </w:pPr>
      <w:r w:rsidRPr="00DE4A9F">
        <w:rPr>
          <w:szCs w:val="24"/>
          <w:lang w:val="fr-FR"/>
        </w:rPr>
        <w:tab/>
        <w:t>A</w:t>
      </w:r>
      <w:r w:rsidRPr="00DE4A9F">
        <w:rPr>
          <w:szCs w:val="24"/>
          <w:lang w:val="fr-CA"/>
        </w:rPr>
        <w:t>ux art</w:t>
      </w:r>
      <w:r w:rsidRPr="00DE4A9F">
        <w:rPr>
          <w:szCs w:val="24"/>
          <w:lang w:val="fr-FR"/>
        </w:rPr>
        <w:t>icles</w:t>
      </w:r>
      <w:r w:rsidRPr="00DE4A9F">
        <w:rPr>
          <w:szCs w:val="24"/>
          <w:lang w:val="fr-CA"/>
        </w:rPr>
        <w:t xml:space="preserve"> 97 et suiv. </w:t>
      </w:r>
      <w:r w:rsidRPr="00DE4A9F">
        <w:rPr>
          <w:i/>
          <w:szCs w:val="24"/>
          <w:lang w:val="fr-CA"/>
        </w:rPr>
        <w:t>C.c.Q.</w:t>
      </w:r>
      <w:r w:rsidRPr="00DE4A9F">
        <w:rPr>
          <w:szCs w:val="24"/>
          <w:lang w:val="fr-CA"/>
        </w:rPr>
        <w:t>, le terme « retour » doit être interprété comme désignant la réapparition de la personne déclarée décédée depuis le jugement déclaratif, où qu’elle soit dans le monde, ou plus encore la manifestation de son existence actuelle. Le terme ne contient aucune limite géographique — le retour physique du disparu à son domicile n’est pas exigé — mais implique toutefois une limite temporelle. La preuve de la réapparition de l’absent doit être, en partie du moins, postérieure au jugement déclaratif de décès.</w:t>
      </w:r>
      <w:r w:rsidRPr="00DE4A9F">
        <w:rPr>
          <w:szCs w:val="24"/>
          <w:lang w:val="fr-FR"/>
        </w:rPr>
        <w:t xml:space="preserve"> En effet,</w:t>
      </w:r>
      <w:r w:rsidRPr="00DE4A9F">
        <w:rPr>
          <w:szCs w:val="24"/>
          <w:lang w:val="fr-CA"/>
        </w:rPr>
        <w:t xml:space="preserve"> </w:t>
      </w:r>
      <w:r w:rsidRPr="00DE4A9F">
        <w:rPr>
          <w:szCs w:val="24"/>
          <w:lang w:val="fr-FR"/>
        </w:rPr>
        <w:t>u</w:t>
      </w:r>
      <w:r w:rsidRPr="00DE4A9F">
        <w:rPr>
          <w:szCs w:val="24"/>
          <w:lang w:val="fr-CA"/>
        </w:rPr>
        <w:t xml:space="preserve">ne fois le jugement déclaratif de décès prononcé, seule une preuve de vie de la personne déclarée décédée postérieure à ce jugement permet d’en obtenir l’annulation. Il demeure néanmoins que des éléments antérieurs au jugement déclaratif attestant la vie de la personne déclarée décédée peuvent s’avérer pertinents dans le cadre de la procédure en annulation, puisqu’ils peuvent contribuer à renforcer la démonstration de la survie. De même, la notion de retour n’exige pas que la preuve soit absolument contemporaine au dépôt de la demande </w:t>
      </w:r>
      <w:r w:rsidRPr="00DE4A9F">
        <w:rPr>
          <w:szCs w:val="24"/>
          <w:lang w:val="fr-CA"/>
        </w:rPr>
        <w:lastRenderedPageBreak/>
        <w:t>introductive d’instance. Le caractère suffisamment actuel de la preuve est laissé à l’appréciation du juge de première instance, qui est le mieux placé pour déterminer si une preuve plus ancienne le convainc du retour effectif de la personne déclarée décédée.</w:t>
      </w:r>
    </w:p>
    <w:p w14:paraId="1879F9F7" w14:textId="77777777" w:rsidR="00E577CC" w:rsidRPr="00DE4A9F" w:rsidRDefault="00E577CC" w:rsidP="002007EA">
      <w:pPr>
        <w:pStyle w:val="SCCNormalDoubleSpacing"/>
        <w:spacing w:after="480"/>
        <w:rPr>
          <w:szCs w:val="24"/>
          <w:lang w:val="fr-FR"/>
        </w:rPr>
      </w:pPr>
      <w:r w:rsidRPr="00DE4A9F">
        <w:rPr>
          <w:szCs w:val="24"/>
          <w:lang w:val="fr-CA"/>
        </w:rPr>
        <w:tab/>
        <w:t>La preuve de l’existence actuelle de la personne déclarée décédée doit convaincre le tribunal selon la prépondérance des probabilités.</w:t>
      </w:r>
      <w:r w:rsidRPr="00DE4A9F">
        <w:rPr>
          <w:szCs w:val="24"/>
          <w:lang w:val="fr-FR"/>
        </w:rPr>
        <w:t xml:space="preserve"> Le </w:t>
      </w:r>
      <w:r w:rsidRPr="00DE4A9F">
        <w:rPr>
          <w:i/>
          <w:szCs w:val="24"/>
          <w:lang w:val="fr-FR"/>
        </w:rPr>
        <w:t>Code civil du Québec</w:t>
      </w:r>
      <w:r w:rsidRPr="00DE4A9F">
        <w:rPr>
          <w:szCs w:val="24"/>
          <w:lang w:val="fr-FR"/>
        </w:rPr>
        <w:t xml:space="preserve"> ne soumet pas la preuve du retour de l’absent à un degré de preuve particulier et, en matière civile, sauf exception prévue par la loi, le droit québécois ne prescrit qu’une seule norme de preuve, soit la prépondérance des probabilités, tel que codifiée à l’art. 2804 </w:t>
      </w:r>
      <w:r w:rsidRPr="00DE4A9F">
        <w:rPr>
          <w:i/>
          <w:szCs w:val="24"/>
          <w:lang w:val="fr-FR"/>
        </w:rPr>
        <w:t>C.c.Q</w:t>
      </w:r>
      <w:r w:rsidRPr="00DE4A9F">
        <w:rPr>
          <w:szCs w:val="24"/>
          <w:lang w:val="fr-FR"/>
        </w:rPr>
        <w:t xml:space="preserve">. </w:t>
      </w:r>
      <w:r w:rsidRPr="00DE4A9F">
        <w:rPr>
          <w:szCs w:val="24"/>
          <w:lang w:val="fr-CA"/>
        </w:rPr>
        <w:t xml:space="preserve">Il s’agit d’une norme exigeante, qui requiert une preuve claire et convaincante dans tous les cas, particulièrement lorsque les faits allégués paraissent improbables et que les conséquences en jeu sont sérieuses. La preuve du retour d’une personne déclarée décédée doit donc être claire et convaincante, </w:t>
      </w:r>
      <w:r w:rsidRPr="00DE4A9F">
        <w:rPr>
          <w:szCs w:val="24"/>
          <w:lang w:val="fr-FR"/>
        </w:rPr>
        <w:t>mais aucun seuil particulier de certitude n’est requis.</w:t>
      </w:r>
      <w:r w:rsidRPr="00DE4A9F">
        <w:rPr>
          <w:bCs/>
          <w:szCs w:val="24"/>
          <w:lang w:val="fr-FR"/>
        </w:rPr>
        <w:t xml:space="preserve"> Il n’existe pas de norme de preuve intermédiaire en matière civile lorsque les faits à prouver sont graves ou particulièrement improbables. Le droit civil québécois de la preuve ne permet pas de moduler la norme de la prépondérance des probabilités en fonction du caractère particulier de l’affaire.</w:t>
      </w:r>
      <w:r w:rsidRPr="00DE4A9F" w:rsidDel="001B1225">
        <w:rPr>
          <w:bCs/>
          <w:szCs w:val="24"/>
          <w:lang w:val="fr-CA"/>
        </w:rPr>
        <w:t xml:space="preserve"> </w:t>
      </w:r>
      <w:r w:rsidRPr="00DE4A9F">
        <w:rPr>
          <w:bCs/>
          <w:szCs w:val="24"/>
          <w:lang w:val="fr-CA"/>
        </w:rPr>
        <w:t>Il appartient au juge du procès de déterminer, selon le sens commun, et non selon une règle de droit, dans quelle mesure les circonstances et le contexte permettent de conclure que le fait allégué est intrinsèquement improbable et dans quelle mesure cette conclusion éclairera la question de savoir si le fait allégué a été prouvé.</w:t>
      </w:r>
    </w:p>
    <w:p w14:paraId="69C514F7" w14:textId="34047AD5" w:rsidR="00E577CC" w:rsidRPr="00DE4A9F" w:rsidRDefault="00E577CC" w:rsidP="002007EA">
      <w:pPr>
        <w:pStyle w:val="SCCNormalDoubleSpacing"/>
        <w:spacing w:after="480"/>
        <w:rPr>
          <w:bCs/>
          <w:szCs w:val="24"/>
          <w:lang w:val="fr-CA"/>
        </w:rPr>
      </w:pPr>
      <w:r w:rsidRPr="00DE4A9F">
        <w:rPr>
          <w:szCs w:val="24"/>
          <w:lang w:val="fr-FR"/>
        </w:rPr>
        <w:lastRenderedPageBreak/>
        <w:tab/>
      </w:r>
      <w:r w:rsidRPr="00DE4A9F">
        <w:rPr>
          <w:bCs/>
          <w:szCs w:val="24"/>
          <w:lang w:val="fr-CA"/>
        </w:rPr>
        <w:t xml:space="preserve">Le jugement déclaratif de décès n’a pas un caractère définitif. L’article 97 </w:t>
      </w:r>
      <w:r w:rsidRPr="00DE4A9F">
        <w:rPr>
          <w:bCs/>
          <w:i/>
          <w:szCs w:val="24"/>
          <w:lang w:val="fr-CA"/>
        </w:rPr>
        <w:t>C.c.Q</w:t>
      </w:r>
      <w:r w:rsidRPr="00DE4A9F">
        <w:rPr>
          <w:bCs/>
          <w:szCs w:val="24"/>
          <w:lang w:val="fr-CA"/>
        </w:rPr>
        <w:t xml:space="preserve">. mentionne que ses effets cessent au retour de la personne déclarée décédée, et le législateur a également expressément prévu un mécanisme de révision du jugement déclaratif de décès à l’art. 98 </w:t>
      </w:r>
      <w:r w:rsidRPr="00DE4A9F">
        <w:rPr>
          <w:bCs/>
          <w:i/>
          <w:szCs w:val="24"/>
          <w:lang w:val="fr-CA"/>
        </w:rPr>
        <w:t xml:space="preserve">C.c.Q. </w:t>
      </w:r>
      <w:r w:rsidRPr="00DE4A9F">
        <w:rPr>
          <w:szCs w:val="24"/>
          <w:lang w:val="fr-FR"/>
        </w:rPr>
        <w:t>Même si la présence physique de la personne déclarée décédée constituera toujours la meilleure preuve de son existence actuelle, un juge peut se satisfaire d’éléments de preuve établissant qu’elle vit encore, particulièrement lorsque les circonstances suggèrent une disparition ou une réclusion volontaire.</w:t>
      </w:r>
    </w:p>
    <w:p w14:paraId="72E716FC" w14:textId="5EADA03F" w:rsidR="004D7D95" w:rsidRPr="00DE4A9F" w:rsidRDefault="00E577CC" w:rsidP="002007EA">
      <w:pPr>
        <w:pStyle w:val="SCCNormalDoubleSpacing"/>
        <w:spacing w:after="480"/>
        <w:rPr>
          <w:szCs w:val="24"/>
          <w:lang w:val="fr-CA"/>
        </w:rPr>
      </w:pPr>
      <w:r w:rsidRPr="00DE4A9F">
        <w:rPr>
          <w:bCs/>
          <w:szCs w:val="24"/>
          <w:lang w:val="fr-CA"/>
        </w:rPr>
        <w:tab/>
        <w:t>En l’espèce, la juge de première instance a pris en compte plusieurs éléments pour conclure, selon la prépondérance des probabilités, que I était toujours en vie : en 2015,</w:t>
      </w:r>
      <w:r w:rsidRPr="00DE4A9F">
        <w:rPr>
          <w:bCs/>
          <w:szCs w:val="24"/>
          <w:lang w:val="fr-FR"/>
        </w:rPr>
        <w:t xml:space="preserve"> l’organisme </w:t>
      </w:r>
      <w:r w:rsidRPr="00DE4A9F">
        <w:rPr>
          <w:bCs/>
          <w:szCs w:val="24"/>
          <w:lang w:val="fr-CA"/>
        </w:rPr>
        <w:t>étatique chargé du recensement en Iran a remis personnellement à un certain I une carte d’identité nationale; en 2018, les registres de l’état civil informatisés de l’Iran faisaient état de l’existence actuelle de cette personne et ne rapportaient aucune mention de décès; depuis la disparition de I en 2008, cette personne a demandé la délivrance de deux passeports iraniens; entre 2008 et 2017, cette personne est sortie d’Iran et y est entrée par avion de ligne à au moins 16 occasions, dont trois fois après le prononcé du jugement déclaratif de décès; et en décembre 2018, cette personne s’est inscrite pour bénéficier d’une aide sociale en Iran. À la lumière de cette preuve, la juge de première instance s’est dite convaincue que la personne figurant sur ces documents était bien le conjoint de R et que I était donc encore bien en vie. En l’absence de démonstration d’une erreur de droit, il n’y a pas lieu d’intervenir.</w:t>
      </w:r>
    </w:p>
    <w:p w14:paraId="41ED17EA" w14:textId="77777777" w:rsidR="004D7D95" w:rsidRPr="00DE4A9F" w:rsidRDefault="004D7D95" w:rsidP="00C870CA">
      <w:pPr>
        <w:pStyle w:val="SCCNormalDoubleSpacing"/>
        <w:widowControl w:val="0"/>
        <w:spacing w:after="720" w:line="240" w:lineRule="auto"/>
        <w:rPr>
          <w:b/>
          <w:szCs w:val="24"/>
          <w:lang w:val="fr-CA"/>
        </w:rPr>
      </w:pPr>
      <w:r w:rsidRPr="00DE4A9F">
        <w:rPr>
          <w:b/>
          <w:szCs w:val="24"/>
          <w:lang w:val="fr-CA"/>
        </w:rPr>
        <w:lastRenderedPageBreak/>
        <w:t>Jurisprudence</w:t>
      </w:r>
    </w:p>
    <w:p w14:paraId="0722AFE7" w14:textId="0EF8EA4B" w:rsidR="004D7D95" w:rsidRPr="00DE4A9F" w:rsidRDefault="004D7D95" w:rsidP="00C870CA">
      <w:pPr>
        <w:pStyle w:val="SCCNormalDoubleSpacing"/>
        <w:widowControl w:val="0"/>
        <w:spacing w:after="480"/>
        <w:rPr>
          <w:szCs w:val="24"/>
          <w:lang w:val="fr-CA"/>
        </w:rPr>
      </w:pPr>
      <w:r w:rsidRPr="00DE4A9F">
        <w:rPr>
          <w:szCs w:val="24"/>
          <w:lang w:val="fr-CA"/>
        </w:rPr>
        <w:tab/>
      </w:r>
      <w:r w:rsidRPr="00DE4A9F">
        <w:rPr>
          <w:b/>
          <w:szCs w:val="24"/>
          <w:lang w:val="fr-CA"/>
        </w:rPr>
        <w:t>Arrêts mentionnés :</w:t>
      </w:r>
      <w:r w:rsidRPr="00DE4A9F">
        <w:rPr>
          <w:szCs w:val="24"/>
          <w:lang w:val="fr-CA"/>
        </w:rPr>
        <w:t xml:space="preserve"> </w:t>
      </w:r>
      <w:r w:rsidR="00223C22" w:rsidRPr="00DE4A9F">
        <w:rPr>
          <w:i/>
          <w:szCs w:val="24"/>
          <w:lang w:val="fr-CA"/>
        </w:rPr>
        <w:t xml:space="preserve">Alliance des Professeurs </w:t>
      </w:r>
      <w:r w:rsidR="00FE70C1" w:rsidRPr="00DE4A9F">
        <w:rPr>
          <w:i/>
          <w:szCs w:val="24"/>
          <w:lang w:val="fr-CA"/>
        </w:rPr>
        <w:t>C</w:t>
      </w:r>
      <w:r w:rsidR="00223C22" w:rsidRPr="00DE4A9F">
        <w:rPr>
          <w:i/>
          <w:szCs w:val="24"/>
          <w:lang w:val="fr-CA"/>
        </w:rPr>
        <w:t xml:space="preserve">atholiques de Montréal c. </w:t>
      </w:r>
      <w:r w:rsidR="009246D4" w:rsidRPr="00DE4A9F">
        <w:rPr>
          <w:i/>
          <w:szCs w:val="24"/>
          <w:lang w:val="fr-CA"/>
        </w:rPr>
        <w:t xml:space="preserve">Quebec </w:t>
      </w:r>
      <w:r w:rsidR="00223C22" w:rsidRPr="00DE4A9F">
        <w:rPr>
          <w:i/>
          <w:szCs w:val="24"/>
          <w:lang w:val="fr-CA"/>
        </w:rPr>
        <w:t>Labour Relations Board</w:t>
      </w:r>
      <w:r w:rsidR="00223C22" w:rsidRPr="00DE4A9F">
        <w:rPr>
          <w:szCs w:val="24"/>
          <w:lang w:val="fr-CA"/>
        </w:rPr>
        <w:t xml:space="preserve">, [1953] 2 R.C.S. 140; </w:t>
      </w:r>
      <w:r w:rsidR="00885F72" w:rsidRPr="00DE4A9F">
        <w:rPr>
          <w:i/>
          <w:iCs/>
          <w:lang w:val="fr-CA"/>
        </w:rPr>
        <w:t>Kane</w:t>
      </w:r>
      <w:r w:rsidR="00885F72" w:rsidRPr="00DE4A9F">
        <w:rPr>
          <w:lang w:val="fr-CA"/>
        </w:rPr>
        <w:t xml:space="preserve"> </w:t>
      </w:r>
      <w:r w:rsidR="00885F72" w:rsidRPr="00DE4A9F">
        <w:rPr>
          <w:i/>
          <w:lang w:val="fr-CA"/>
        </w:rPr>
        <w:t>c.</w:t>
      </w:r>
      <w:r w:rsidR="00885F72" w:rsidRPr="00DE4A9F">
        <w:rPr>
          <w:lang w:val="fr-CA"/>
        </w:rPr>
        <w:t xml:space="preserve"> </w:t>
      </w:r>
      <w:r w:rsidR="00885F72" w:rsidRPr="00DE4A9F">
        <w:rPr>
          <w:i/>
          <w:iCs/>
          <w:lang w:val="fr-CA"/>
        </w:rPr>
        <w:t>Conseil d’administration (Université de la Colombie</w:t>
      </w:r>
      <w:r w:rsidR="00741D5F" w:rsidRPr="00DE4A9F">
        <w:rPr>
          <w:i/>
          <w:iCs/>
          <w:lang w:val="fr-CA"/>
        </w:rPr>
        <w:t>-</w:t>
      </w:r>
      <w:r w:rsidR="00885F72" w:rsidRPr="00DE4A9F">
        <w:rPr>
          <w:i/>
          <w:iCs/>
          <w:lang w:val="fr-CA"/>
        </w:rPr>
        <w:t>Britannique)</w:t>
      </w:r>
      <w:r w:rsidR="00885F72" w:rsidRPr="00DE4A9F">
        <w:rPr>
          <w:lang w:val="fr-CA"/>
        </w:rPr>
        <w:t>, [1980] 1 R.C.S. 1105</w:t>
      </w:r>
      <w:r w:rsidR="00223C22" w:rsidRPr="00DE4A9F">
        <w:rPr>
          <w:szCs w:val="24"/>
          <w:lang w:val="fr-CA"/>
        </w:rPr>
        <w:t xml:space="preserve">; </w:t>
      </w:r>
      <w:r w:rsidR="002604A8" w:rsidRPr="00DE4A9F">
        <w:rPr>
          <w:i/>
          <w:szCs w:val="24"/>
          <w:lang w:val="fr-CA"/>
        </w:rPr>
        <w:t>Board of Education c. Rice</w:t>
      </w:r>
      <w:r w:rsidR="002604A8" w:rsidRPr="00DE4A9F">
        <w:rPr>
          <w:szCs w:val="24"/>
          <w:lang w:val="fr-CA"/>
        </w:rPr>
        <w:t xml:space="preserve">, [1911] A.C. 179; </w:t>
      </w:r>
      <w:r w:rsidR="00885F72" w:rsidRPr="00DE4A9F">
        <w:rPr>
          <w:i/>
          <w:szCs w:val="24"/>
          <w:lang w:val="fr-CA"/>
        </w:rPr>
        <w:t>Sani-Terre Environnement inc. c. Villéco inc.</w:t>
      </w:r>
      <w:r w:rsidR="00885F72" w:rsidRPr="00DE4A9F">
        <w:rPr>
          <w:szCs w:val="24"/>
          <w:lang w:val="fr-CA"/>
        </w:rPr>
        <w:t>, 2021 QCCA 326;</w:t>
      </w:r>
      <w:r w:rsidR="00885F72" w:rsidRPr="00DE4A9F">
        <w:rPr>
          <w:i/>
          <w:szCs w:val="24"/>
          <w:lang w:val="fr-CA"/>
        </w:rPr>
        <w:t xml:space="preserve"> </w:t>
      </w:r>
      <w:r w:rsidR="00885F72" w:rsidRPr="00DE4A9F">
        <w:rPr>
          <w:bCs/>
          <w:i/>
          <w:lang w:val="fr-CA"/>
        </w:rPr>
        <w:t>Robillard c. Commission Hydroélectrique de Québec</w:t>
      </w:r>
      <w:r w:rsidR="00885F72" w:rsidRPr="00DE4A9F">
        <w:rPr>
          <w:bCs/>
          <w:lang w:val="fr-CA"/>
        </w:rPr>
        <w:t>, [1954] R.C.S. 695</w:t>
      </w:r>
      <w:r w:rsidR="00223C22" w:rsidRPr="00DE4A9F">
        <w:rPr>
          <w:szCs w:val="24"/>
          <w:lang w:val="fr-CA"/>
        </w:rPr>
        <w:t>;</w:t>
      </w:r>
      <w:r w:rsidR="002E5A47" w:rsidRPr="00DE4A9F">
        <w:rPr>
          <w:i/>
          <w:szCs w:val="24"/>
          <w:lang w:val="fr-CA"/>
        </w:rPr>
        <w:t xml:space="preserve"> Gestion Bon Conseil inc. c. Guèvremont</w:t>
      </w:r>
      <w:r w:rsidR="002E5A47" w:rsidRPr="00DE4A9F">
        <w:rPr>
          <w:szCs w:val="24"/>
          <w:lang w:val="fr-CA"/>
        </w:rPr>
        <w:t>, 2006 QCCA 109;</w:t>
      </w:r>
      <w:r w:rsidR="002E5A47" w:rsidRPr="00DE4A9F">
        <w:rPr>
          <w:i/>
          <w:szCs w:val="24"/>
          <w:lang w:val="fr-CA"/>
        </w:rPr>
        <w:t xml:space="preserve"> Droit de la famille — 192513</w:t>
      </w:r>
      <w:r w:rsidR="002E5A47" w:rsidRPr="00DE4A9F">
        <w:rPr>
          <w:szCs w:val="24"/>
          <w:lang w:val="fr-CA"/>
        </w:rPr>
        <w:t>, 2019 QCCA 2139;</w:t>
      </w:r>
      <w:r w:rsidR="00EC44C0" w:rsidRPr="00DE4A9F">
        <w:rPr>
          <w:i/>
          <w:iCs/>
          <w:szCs w:val="24"/>
          <w:lang w:val="fr-CA"/>
        </w:rPr>
        <w:t xml:space="preserve"> S.A. Louis Dreyfus &amp; Cie</w:t>
      </w:r>
      <w:r w:rsidR="00EC44C0" w:rsidRPr="00DE4A9F">
        <w:rPr>
          <w:i/>
          <w:szCs w:val="24"/>
          <w:lang w:val="fr-CA"/>
        </w:rPr>
        <w:t xml:space="preserve"> c. </w:t>
      </w:r>
      <w:r w:rsidR="00EC44C0" w:rsidRPr="00DE4A9F">
        <w:rPr>
          <w:i/>
          <w:iCs/>
          <w:szCs w:val="24"/>
          <w:lang w:val="fr-CA"/>
        </w:rPr>
        <w:t>Holding Tusculum B.V.</w:t>
      </w:r>
      <w:r w:rsidR="00EC44C0" w:rsidRPr="00DE4A9F">
        <w:rPr>
          <w:szCs w:val="24"/>
          <w:lang w:val="fr-CA"/>
        </w:rPr>
        <w:t>,</w:t>
      </w:r>
      <w:r w:rsidR="00EC44C0" w:rsidRPr="00DE4A9F">
        <w:rPr>
          <w:szCs w:val="24"/>
          <w:shd w:val="clear" w:color="auto" w:fill="FFFFFF"/>
          <w:lang w:val="fr-CA"/>
        </w:rPr>
        <w:t xml:space="preserve"> </w:t>
      </w:r>
      <w:r w:rsidR="00EC44C0" w:rsidRPr="00DE4A9F">
        <w:rPr>
          <w:szCs w:val="24"/>
          <w:lang w:val="fr-CA"/>
        </w:rPr>
        <w:t>[1998] R.J.Q. 1722</w:t>
      </w:r>
      <w:r w:rsidR="00364C65" w:rsidRPr="00DE4A9F">
        <w:rPr>
          <w:szCs w:val="24"/>
          <w:lang w:val="fr-CA"/>
        </w:rPr>
        <w:t xml:space="preserve">; </w:t>
      </w:r>
      <w:r w:rsidR="00885F72" w:rsidRPr="00DE4A9F">
        <w:rPr>
          <w:i/>
          <w:szCs w:val="24"/>
          <w:lang w:val="fr-CA"/>
        </w:rPr>
        <w:t>Conseil Mohawk de Kanesatake c. Sylvestre</w:t>
      </w:r>
      <w:r w:rsidR="00885F72" w:rsidRPr="00DE4A9F">
        <w:rPr>
          <w:szCs w:val="24"/>
          <w:lang w:val="fr-CA"/>
        </w:rPr>
        <w:t>, 2025 CSC 30;</w:t>
      </w:r>
      <w:r w:rsidR="00885F72" w:rsidRPr="00DE4A9F">
        <w:rPr>
          <w:i/>
          <w:szCs w:val="24"/>
          <w:lang w:val="fr-CA"/>
        </w:rPr>
        <w:t xml:space="preserve"> </w:t>
      </w:r>
      <w:r w:rsidR="0055776B" w:rsidRPr="00DE4A9F">
        <w:rPr>
          <w:i/>
          <w:szCs w:val="24"/>
          <w:lang w:val="fr-CA"/>
        </w:rPr>
        <w:t>Threlfall c. Carleton University</w:t>
      </w:r>
      <w:r w:rsidR="0055776B" w:rsidRPr="00DE4A9F">
        <w:rPr>
          <w:szCs w:val="24"/>
          <w:lang w:val="fr-CA"/>
        </w:rPr>
        <w:t>, 2019 CSC 50, [2019] 3 R.C.S. 726;</w:t>
      </w:r>
      <w:r w:rsidR="0055776B" w:rsidRPr="00DE4A9F">
        <w:rPr>
          <w:i/>
          <w:szCs w:val="24"/>
          <w:lang w:val="fr-CA"/>
        </w:rPr>
        <w:t xml:space="preserve"> Housen c. Nikolaisen</w:t>
      </w:r>
      <w:r w:rsidR="0055776B" w:rsidRPr="00DE4A9F">
        <w:rPr>
          <w:szCs w:val="24"/>
          <w:lang w:val="fr-CA"/>
        </w:rPr>
        <w:t>, 2002 CSC 33, [2002] 2 R.C.S. 235</w:t>
      </w:r>
      <w:r w:rsidR="006B6994" w:rsidRPr="00DE4A9F">
        <w:rPr>
          <w:szCs w:val="24"/>
          <w:lang w:val="fr-CA"/>
        </w:rPr>
        <w:t>;</w:t>
      </w:r>
      <w:r w:rsidR="006B6994" w:rsidRPr="00DE4A9F">
        <w:rPr>
          <w:i/>
          <w:iCs/>
          <w:szCs w:val="24"/>
          <w:lang w:val="fr-CA"/>
        </w:rPr>
        <w:t xml:space="preserve"> </w:t>
      </w:r>
      <w:r w:rsidR="00166984" w:rsidRPr="00DE4A9F">
        <w:rPr>
          <w:i/>
          <w:szCs w:val="24"/>
          <w:lang w:val="fr-CA"/>
        </w:rPr>
        <w:t>D.C.R. c. J.R.</w:t>
      </w:r>
      <w:r w:rsidR="00166984" w:rsidRPr="00DE4A9F">
        <w:rPr>
          <w:szCs w:val="24"/>
          <w:lang w:val="fr-CA"/>
        </w:rPr>
        <w:t>, 2019 QCCS 282;</w:t>
      </w:r>
      <w:r w:rsidR="000B553A" w:rsidRPr="00DE4A9F">
        <w:rPr>
          <w:i/>
          <w:iCs/>
          <w:szCs w:val="24"/>
          <w:lang w:val="fr-CA"/>
        </w:rPr>
        <w:t xml:space="preserve"> Rizzo &amp; Rizzo Shoes Ltd. (Re)</w:t>
      </w:r>
      <w:r w:rsidR="000B553A" w:rsidRPr="00DE4A9F">
        <w:rPr>
          <w:szCs w:val="24"/>
          <w:lang w:val="fr-CA"/>
        </w:rPr>
        <w:t>, [1998] 1 R.C.S. 27;</w:t>
      </w:r>
      <w:r w:rsidR="000B553A" w:rsidRPr="00DE4A9F">
        <w:rPr>
          <w:i/>
          <w:iCs/>
          <w:szCs w:val="24"/>
          <w:lang w:val="fr-CA"/>
        </w:rPr>
        <w:t xml:space="preserve"> Doré c. Verdun (Ville)</w:t>
      </w:r>
      <w:r w:rsidR="000B553A" w:rsidRPr="00DE4A9F">
        <w:rPr>
          <w:szCs w:val="24"/>
          <w:lang w:val="fr-CA"/>
        </w:rPr>
        <w:t xml:space="preserve">, [1997] 2 R.C.S. 862; </w:t>
      </w:r>
      <w:r w:rsidR="000B553A" w:rsidRPr="00DE4A9F">
        <w:rPr>
          <w:i/>
          <w:szCs w:val="24"/>
          <w:lang w:val="fr-CA"/>
        </w:rPr>
        <w:t>Montréal (Ville) c. Dorval</w:t>
      </w:r>
      <w:r w:rsidR="000B553A" w:rsidRPr="00DE4A9F">
        <w:rPr>
          <w:szCs w:val="24"/>
          <w:lang w:val="fr-CA"/>
        </w:rPr>
        <w:t>, 2017 CSC 48, [2017] 2 R.C.S. 250;</w:t>
      </w:r>
      <w:r w:rsidR="000B553A" w:rsidRPr="00DE4A9F">
        <w:rPr>
          <w:i/>
          <w:szCs w:val="24"/>
          <w:lang w:val="fr-CA"/>
        </w:rPr>
        <w:t xml:space="preserve"> </w:t>
      </w:r>
      <w:r w:rsidR="00B6117E" w:rsidRPr="00DE4A9F">
        <w:rPr>
          <w:i/>
          <w:lang w:val="fr-CA"/>
        </w:rPr>
        <w:t>Fox c. Bishop of Chester</w:t>
      </w:r>
      <w:r w:rsidR="00B6117E" w:rsidRPr="00DE4A9F">
        <w:rPr>
          <w:lang w:val="fr-CA"/>
        </w:rPr>
        <w:t xml:space="preserve"> (1829), 1 Dow &amp; Clark 416, 6 E.R. 581; </w:t>
      </w:r>
      <w:r w:rsidR="009D62F3" w:rsidRPr="00DE4A9F">
        <w:rPr>
          <w:i/>
          <w:szCs w:val="24"/>
          <w:lang w:val="fr-CA"/>
        </w:rPr>
        <w:t>Orphan Well Association c. Grant Thornton Ltd.</w:t>
      </w:r>
      <w:r w:rsidR="009D62F3" w:rsidRPr="00DE4A9F">
        <w:rPr>
          <w:szCs w:val="24"/>
          <w:lang w:val="fr-CA"/>
        </w:rPr>
        <w:t>, 2019 CSC 5, [2019] 1 R.C.S. 150;</w:t>
      </w:r>
      <w:r w:rsidR="009D62F3" w:rsidRPr="00DE4A9F">
        <w:rPr>
          <w:i/>
          <w:szCs w:val="24"/>
          <w:lang w:val="fr-CA"/>
        </w:rPr>
        <w:t xml:space="preserve"> R. c. Basque</w:t>
      </w:r>
      <w:r w:rsidR="009D62F3" w:rsidRPr="00DE4A9F">
        <w:rPr>
          <w:szCs w:val="24"/>
          <w:lang w:val="fr-CA"/>
        </w:rPr>
        <w:t>, 2023 CSC 18;</w:t>
      </w:r>
      <w:r w:rsidR="00365A00" w:rsidRPr="00DE4A9F">
        <w:rPr>
          <w:i/>
          <w:iCs/>
          <w:szCs w:val="24"/>
          <w:lang w:val="fr-CA"/>
        </w:rPr>
        <w:t xml:space="preserve"> R. c. Steele</w:t>
      </w:r>
      <w:r w:rsidR="00365A00" w:rsidRPr="00DE4A9F">
        <w:rPr>
          <w:szCs w:val="24"/>
          <w:lang w:val="fr-CA"/>
        </w:rPr>
        <w:t>, 2014 CSC 61, [2014] 3 R.C.S. 138;</w:t>
      </w:r>
      <w:r w:rsidR="00365A00" w:rsidRPr="00DE4A9F">
        <w:rPr>
          <w:i/>
          <w:iCs/>
          <w:szCs w:val="24"/>
          <w:lang w:val="fr-CA"/>
        </w:rPr>
        <w:t xml:space="preserve"> </w:t>
      </w:r>
      <w:r w:rsidR="00B6117E" w:rsidRPr="00DE4A9F">
        <w:rPr>
          <w:i/>
          <w:iCs/>
          <w:lang w:val="fr-CA"/>
        </w:rPr>
        <w:t>R.</w:t>
      </w:r>
      <w:r w:rsidR="00B6117E" w:rsidRPr="00DE4A9F">
        <w:rPr>
          <w:lang w:val="fr-CA"/>
        </w:rPr>
        <w:t xml:space="preserve"> </w:t>
      </w:r>
      <w:r w:rsidR="00B6117E" w:rsidRPr="00DE4A9F">
        <w:rPr>
          <w:i/>
          <w:lang w:val="fr-CA"/>
        </w:rPr>
        <w:t>c.</w:t>
      </w:r>
      <w:r w:rsidR="00B6117E" w:rsidRPr="00DE4A9F">
        <w:rPr>
          <w:lang w:val="fr-CA"/>
        </w:rPr>
        <w:t xml:space="preserve"> </w:t>
      </w:r>
      <w:r w:rsidR="00B6117E" w:rsidRPr="00DE4A9F">
        <w:rPr>
          <w:i/>
          <w:iCs/>
          <w:lang w:val="fr-CA"/>
        </w:rPr>
        <w:t>Paré</w:t>
      </w:r>
      <w:r w:rsidR="00B6117E" w:rsidRPr="00DE4A9F">
        <w:rPr>
          <w:lang w:val="fr-CA"/>
        </w:rPr>
        <w:t xml:space="preserve">, [1987] 2 R.C.S. 618; </w:t>
      </w:r>
      <w:r w:rsidR="00365A00" w:rsidRPr="00DE4A9F">
        <w:rPr>
          <w:i/>
          <w:iCs/>
          <w:szCs w:val="24"/>
          <w:lang w:val="fr-CA"/>
        </w:rPr>
        <w:t>Sommers</w:t>
      </w:r>
      <w:r w:rsidR="00365A00" w:rsidRPr="00DE4A9F">
        <w:rPr>
          <w:i/>
          <w:szCs w:val="24"/>
          <w:lang w:val="fr-CA"/>
        </w:rPr>
        <w:t xml:space="preserve"> c. </w:t>
      </w:r>
      <w:r w:rsidR="00365A00" w:rsidRPr="00DE4A9F">
        <w:rPr>
          <w:i/>
          <w:iCs/>
          <w:szCs w:val="24"/>
          <w:lang w:val="fr-CA"/>
        </w:rPr>
        <w:t>The Queen</w:t>
      </w:r>
      <w:r w:rsidR="00365A00" w:rsidRPr="00DE4A9F">
        <w:rPr>
          <w:szCs w:val="24"/>
          <w:lang w:val="fr-CA"/>
        </w:rPr>
        <w:t>, [1959] R.C.S. 678;</w:t>
      </w:r>
      <w:r w:rsidR="00365A00" w:rsidRPr="00DE4A9F">
        <w:rPr>
          <w:i/>
          <w:iCs/>
          <w:szCs w:val="24"/>
          <w:lang w:val="fr-CA"/>
        </w:rPr>
        <w:t xml:space="preserve"> Goldman </w:t>
      </w:r>
      <w:r w:rsidR="00365A00" w:rsidRPr="00DE4A9F">
        <w:rPr>
          <w:i/>
          <w:szCs w:val="24"/>
          <w:lang w:val="fr-CA"/>
        </w:rPr>
        <w:t xml:space="preserve">c. </w:t>
      </w:r>
      <w:r w:rsidR="00365A00" w:rsidRPr="00DE4A9F">
        <w:rPr>
          <w:i/>
          <w:iCs/>
          <w:szCs w:val="24"/>
          <w:lang w:val="fr-CA"/>
        </w:rPr>
        <w:t>La Reine</w:t>
      </w:r>
      <w:r w:rsidR="00365A00" w:rsidRPr="00DE4A9F">
        <w:rPr>
          <w:szCs w:val="24"/>
          <w:lang w:val="fr-CA"/>
        </w:rPr>
        <w:t>, [1980] 1 R.C.S. 976;</w:t>
      </w:r>
      <w:r w:rsidR="008C55A0" w:rsidRPr="00DE4A9F">
        <w:rPr>
          <w:bCs/>
          <w:i/>
          <w:szCs w:val="24"/>
          <w:lang w:val="fr-CA"/>
        </w:rPr>
        <w:t xml:space="preserve"> Québec (Commission des droits de la personne et des droits de la jeunesse) c. Bombardier Inc. (Bombardier Aéronautique Centre de formation)</w:t>
      </w:r>
      <w:r w:rsidR="008C55A0" w:rsidRPr="00DE4A9F">
        <w:rPr>
          <w:bCs/>
          <w:szCs w:val="24"/>
          <w:lang w:val="fr-CA"/>
        </w:rPr>
        <w:t>, 2015 CSC 39, [2015] 2 R.C.S. 789;</w:t>
      </w:r>
      <w:r w:rsidR="008C55A0" w:rsidRPr="00DE4A9F">
        <w:rPr>
          <w:i/>
          <w:iCs/>
          <w:szCs w:val="24"/>
          <w:lang w:val="fr-CA"/>
        </w:rPr>
        <w:t xml:space="preserve"> Banque Canadienne Nationale c. Mastracchio</w:t>
      </w:r>
      <w:r w:rsidR="008C55A0" w:rsidRPr="00DE4A9F">
        <w:rPr>
          <w:szCs w:val="24"/>
          <w:lang w:val="fr-CA"/>
        </w:rPr>
        <w:t>, [1962] R.C.S. 53;</w:t>
      </w:r>
      <w:r w:rsidR="008C55A0" w:rsidRPr="00DE4A9F">
        <w:rPr>
          <w:i/>
          <w:iCs/>
          <w:szCs w:val="24"/>
          <w:lang w:val="fr-CA"/>
        </w:rPr>
        <w:t xml:space="preserve"> Rousseau c. Bennett</w:t>
      </w:r>
      <w:r w:rsidR="008C55A0" w:rsidRPr="00DE4A9F">
        <w:rPr>
          <w:szCs w:val="24"/>
          <w:lang w:val="fr-CA"/>
        </w:rPr>
        <w:t>, [1956] R.C.S. 89;</w:t>
      </w:r>
      <w:r w:rsidR="008C55A0" w:rsidRPr="00DE4A9F">
        <w:rPr>
          <w:i/>
          <w:iCs/>
          <w:szCs w:val="24"/>
          <w:lang w:val="fr-CA"/>
        </w:rPr>
        <w:t xml:space="preserve"> Parent c. Lapointe</w:t>
      </w:r>
      <w:r w:rsidR="008C55A0" w:rsidRPr="00DE4A9F">
        <w:rPr>
          <w:szCs w:val="24"/>
          <w:lang w:val="fr-CA"/>
        </w:rPr>
        <w:t>, [1952] 1 R.C.S. 376;</w:t>
      </w:r>
      <w:r w:rsidR="00FE0875" w:rsidRPr="00DE4A9F">
        <w:rPr>
          <w:bCs/>
          <w:i/>
          <w:szCs w:val="24"/>
          <w:lang w:val="fr-CA"/>
        </w:rPr>
        <w:t xml:space="preserve"> F.H. c. McDougall</w:t>
      </w:r>
      <w:r w:rsidR="00FE0875" w:rsidRPr="00DE4A9F">
        <w:rPr>
          <w:bCs/>
          <w:szCs w:val="24"/>
          <w:lang w:val="fr-CA"/>
        </w:rPr>
        <w:t>, 2008 CSC 53, [2008] 3 R.C.S. 41</w:t>
      </w:r>
      <w:r w:rsidR="00C870CA" w:rsidRPr="00DE4A9F">
        <w:rPr>
          <w:bCs/>
          <w:szCs w:val="24"/>
          <w:lang w:val="fr-CA"/>
        </w:rPr>
        <w:t>.</w:t>
      </w:r>
    </w:p>
    <w:p w14:paraId="58C2F51A" w14:textId="77777777" w:rsidR="004D7D95" w:rsidRPr="00DE4A9F" w:rsidRDefault="004D7D95" w:rsidP="00C870CA">
      <w:pPr>
        <w:pStyle w:val="SCCNormalDoubleSpacing"/>
        <w:widowControl w:val="0"/>
        <w:spacing w:after="720" w:line="240" w:lineRule="auto"/>
        <w:rPr>
          <w:b/>
          <w:szCs w:val="24"/>
          <w:lang w:val="fr-CA"/>
        </w:rPr>
      </w:pPr>
      <w:r w:rsidRPr="00DE4A9F">
        <w:rPr>
          <w:b/>
          <w:szCs w:val="24"/>
          <w:lang w:val="fr-CA"/>
        </w:rPr>
        <w:lastRenderedPageBreak/>
        <w:t>Lois et règlements cités</w:t>
      </w:r>
    </w:p>
    <w:p w14:paraId="5929AECB" w14:textId="2E35C7C7" w:rsidR="0055776B" w:rsidRPr="00DE4A9F" w:rsidRDefault="0055776B" w:rsidP="00C870CA">
      <w:pPr>
        <w:pStyle w:val="SCCNormalDoubleSpacing"/>
        <w:spacing w:after="240" w:line="240" w:lineRule="auto"/>
        <w:ind w:left="547" w:hanging="547"/>
        <w:rPr>
          <w:i/>
          <w:szCs w:val="24"/>
          <w:lang w:val="fr-CA"/>
        </w:rPr>
      </w:pPr>
      <w:r w:rsidRPr="00DE4A9F">
        <w:rPr>
          <w:i/>
          <w:iCs/>
          <w:color w:val="000000"/>
          <w:szCs w:val="24"/>
          <w:lang w:val="fr-CA"/>
        </w:rPr>
        <w:t>Code civil</w:t>
      </w:r>
      <w:r w:rsidR="006636C6" w:rsidRPr="00DE4A9F">
        <w:rPr>
          <w:i/>
          <w:iCs/>
          <w:color w:val="000000"/>
          <w:szCs w:val="24"/>
          <w:lang w:val="fr-CA"/>
        </w:rPr>
        <w:t xml:space="preserve"> </w:t>
      </w:r>
      <w:r w:rsidRPr="00DE4A9F">
        <w:rPr>
          <w:rStyle w:val="solexhl"/>
          <w:rFonts w:eastAsiaTheme="majorEastAsia"/>
          <w:i/>
          <w:iCs/>
          <w:color w:val="000000"/>
          <w:szCs w:val="24"/>
          <w:lang w:val="fr-CA"/>
        </w:rPr>
        <w:t>du Bas‐Canada</w:t>
      </w:r>
      <w:r w:rsidR="000B553A" w:rsidRPr="00DE4A9F">
        <w:rPr>
          <w:color w:val="000000"/>
          <w:szCs w:val="24"/>
          <w:lang w:val="fr-CA"/>
        </w:rPr>
        <w:t>, art.</w:t>
      </w:r>
      <w:r w:rsidR="006636C6" w:rsidRPr="00DE4A9F">
        <w:rPr>
          <w:color w:val="000000"/>
          <w:szCs w:val="24"/>
          <w:lang w:val="fr-CA"/>
        </w:rPr>
        <w:t xml:space="preserve"> </w:t>
      </w:r>
      <w:r w:rsidR="00014766" w:rsidRPr="00DE4A9F">
        <w:rPr>
          <w:color w:val="000000"/>
          <w:szCs w:val="24"/>
          <w:lang w:val="fr-CA"/>
        </w:rPr>
        <w:t xml:space="preserve">73, </w:t>
      </w:r>
      <w:r w:rsidR="000B553A" w:rsidRPr="00DE4A9F">
        <w:rPr>
          <w:color w:val="000000"/>
          <w:szCs w:val="24"/>
          <w:lang w:val="fr-CA"/>
        </w:rPr>
        <w:t>100, 101.</w:t>
      </w:r>
    </w:p>
    <w:p w14:paraId="7E910370" w14:textId="4535C159" w:rsidR="004D7D95" w:rsidRPr="00DE4A9F" w:rsidRDefault="0055776B" w:rsidP="00C870CA">
      <w:pPr>
        <w:pStyle w:val="SCCNormalDoubleSpacing"/>
        <w:spacing w:after="240" w:line="240" w:lineRule="auto"/>
        <w:ind w:left="547" w:hanging="547"/>
        <w:rPr>
          <w:szCs w:val="24"/>
          <w:lang w:val="fr-CA"/>
        </w:rPr>
      </w:pPr>
      <w:r w:rsidRPr="00DE4A9F">
        <w:rPr>
          <w:i/>
          <w:szCs w:val="24"/>
          <w:lang w:val="fr-CA"/>
        </w:rPr>
        <w:t>Code civil du Québec</w:t>
      </w:r>
      <w:r w:rsidRPr="00DE4A9F">
        <w:rPr>
          <w:szCs w:val="24"/>
          <w:lang w:val="fr-CA"/>
        </w:rPr>
        <w:t>, Livre premier, art.</w:t>
      </w:r>
      <w:r w:rsidR="006636C6" w:rsidRPr="00DE4A9F">
        <w:rPr>
          <w:szCs w:val="24"/>
          <w:lang w:val="fr-CA"/>
        </w:rPr>
        <w:t xml:space="preserve"> </w:t>
      </w:r>
      <w:r w:rsidRPr="00DE4A9F">
        <w:rPr>
          <w:szCs w:val="24"/>
          <w:lang w:val="fr-CA"/>
        </w:rPr>
        <w:t xml:space="preserve">84, </w:t>
      </w:r>
      <w:r w:rsidR="00364C65" w:rsidRPr="00DE4A9F">
        <w:rPr>
          <w:szCs w:val="24"/>
          <w:lang w:val="fr-CA"/>
        </w:rPr>
        <w:t xml:space="preserve">85, </w:t>
      </w:r>
      <w:r w:rsidRPr="00DE4A9F">
        <w:rPr>
          <w:szCs w:val="24"/>
          <w:lang w:val="fr-CA"/>
        </w:rPr>
        <w:t xml:space="preserve">86, </w:t>
      </w:r>
      <w:r w:rsidR="006B6994" w:rsidRPr="00DE4A9F">
        <w:rPr>
          <w:szCs w:val="24"/>
          <w:lang w:val="fr-CA"/>
        </w:rPr>
        <w:t xml:space="preserve">90, </w:t>
      </w:r>
      <w:r w:rsidRPr="00DE4A9F">
        <w:rPr>
          <w:szCs w:val="24"/>
          <w:lang w:val="fr-CA"/>
        </w:rPr>
        <w:t xml:space="preserve">91, 92, </w:t>
      </w:r>
      <w:r w:rsidR="00E832E0" w:rsidRPr="00DE4A9F">
        <w:rPr>
          <w:szCs w:val="24"/>
          <w:lang w:val="fr-CA"/>
        </w:rPr>
        <w:t>95,</w:t>
      </w:r>
      <w:r w:rsidR="00B6117E" w:rsidRPr="00DE4A9F">
        <w:rPr>
          <w:szCs w:val="24"/>
          <w:lang w:val="fr-CA"/>
        </w:rPr>
        <w:t xml:space="preserve"> </w:t>
      </w:r>
      <w:r w:rsidR="00E832E0" w:rsidRPr="00DE4A9F">
        <w:rPr>
          <w:szCs w:val="24"/>
          <w:lang w:val="fr-CA"/>
        </w:rPr>
        <w:t>96</w:t>
      </w:r>
      <w:r w:rsidRPr="00DE4A9F">
        <w:rPr>
          <w:szCs w:val="24"/>
          <w:lang w:val="fr-CA"/>
        </w:rPr>
        <w:t xml:space="preserve"> à 101</w:t>
      </w:r>
      <w:r w:rsidR="00017A7D" w:rsidRPr="00DE4A9F">
        <w:rPr>
          <w:szCs w:val="24"/>
          <w:lang w:val="fr-CA"/>
        </w:rPr>
        <w:t>, 129, 133</w:t>
      </w:r>
      <w:r w:rsidRPr="00DE4A9F">
        <w:rPr>
          <w:szCs w:val="24"/>
          <w:lang w:val="fr-CA"/>
        </w:rPr>
        <w:t xml:space="preserve">, 521.17, 617, </w:t>
      </w:r>
      <w:r w:rsidR="00FE0875" w:rsidRPr="00DE4A9F">
        <w:rPr>
          <w:bCs/>
          <w:szCs w:val="24"/>
          <w:lang w:val="fr-CA"/>
        </w:rPr>
        <w:t xml:space="preserve">2803, </w:t>
      </w:r>
      <w:r w:rsidR="008C55A0" w:rsidRPr="00DE4A9F">
        <w:rPr>
          <w:szCs w:val="24"/>
          <w:lang w:val="fr-CA"/>
        </w:rPr>
        <w:t xml:space="preserve">2804, </w:t>
      </w:r>
      <w:r w:rsidR="006B6994" w:rsidRPr="00DE4A9F">
        <w:rPr>
          <w:szCs w:val="24"/>
          <w:lang w:val="fr-CA"/>
        </w:rPr>
        <w:t xml:space="preserve">2846, </w:t>
      </w:r>
      <w:r w:rsidRPr="00DE4A9F">
        <w:rPr>
          <w:szCs w:val="24"/>
          <w:lang w:val="fr-CA"/>
        </w:rPr>
        <w:t>2847.</w:t>
      </w:r>
    </w:p>
    <w:p w14:paraId="0BF9C8A2" w14:textId="4D63D841" w:rsidR="0055776B" w:rsidRPr="00DE4A9F" w:rsidRDefault="0055776B" w:rsidP="00C870CA">
      <w:pPr>
        <w:pStyle w:val="SCCNormalDoubleSpacing"/>
        <w:spacing w:after="240" w:line="240" w:lineRule="auto"/>
        <w:ind w:left="547" w:hanging="547"/>
        <w:rPr>
          <w:szCs w:val="24"/>
          <w:lang w:val="fr-CA"/>
        </w:rPr>
      </w:pPr>
      <w:r w:rsidRPr="00DE4A9F">
        <w:rPr>
          <w:i/>
          <w:szCs w:val="24"/>
          <w:lang w:val="fr-CA"/>
        </w:rPr>
        <w:t>Code de procédure civile</w:t>
      </w:r>
      <w:r w:rsidRPr="00DE4A9F">
        <w:rPr>
          <w:szCs w:val="24"/>
          <w:lang w:val="fr-CA"/>
        </w:rPr>
        <w:t>, RLRQ, c.</w:t>
      </w:r>
      <w:r w:rsidR="006636C6" w:rsidRPr="00DE4A9F">
        <w:rPr>
          <w:szCs w:val="24"/>
          <w:lang w:val="fr-CA"/>
        </w:rPr>
        <w:t xml:space="preserve"> </w:t>
      </w:r>
      <w:r w:rsidRPr="00DE4A9F">
        <w:rPr>
          <w:szCs w:val="24"/>
          <w:lang w:val="fr-CA"/>
        </w:rPr>
        <w:t>C-25.01, art.</w:t>
      </w:r>
      <w:r w:rsidR="006636C6" w:rsidRPr="00DE4A9F">
        <w:rPr>
          <w:szCs w:val="24"/>
          <w:lang w:val="fr-CA"/>
        </w:rPr>
        <w:t xml:space="preserve"> </w:t>
      </w:r>
      <w:r w:rsidR="009246D4" w:rsidRPr="00DE4A9F">
        <w:rPr>
          <w:szCs w:val="24"/>
          <w:lang w:val="fr-CA"/>
        </w:rPr>
        <w:t>17,</w:t>
      </w:r>
      <w:r w:rsidR="00885F72" w:rsidRPr="00DE4A9F">
        <w:rPr>
          <w:szCs w:val="24"/>
          <w:lang w:val="fr-CA"/>
        </w:rPr>
        <w:t xml:space="preserve"> 18,</w:t>
      </w:r>
      <w:r w:rsidR="009246D4" w:rsidRPr="00DE4A9F">
        <w:rPr>
          <w:szCs w:val="24"/>
          <w:lang w:val="fr-CA"/>
        </w:rPr>
        <w:t xml:space="preserve"> 109, 110 al.</w:t>
      </w:r>
      <w:r w:rsidR="00741D5F" w:rsidRPr="00DE4A9F">
        <w:rPr>
          <w:szCs w:val="24"/>
          <w:lang w:val="fr-CA"/>
        </w:rPr>
        <w:t xml:space="preserve"> </w:t>
      </w:r>
      <w:r w:rsidR="009246D4" w:rsidRPr="00DE4A9F">
        <w:rPr>
          <w:szCs w:val="24"/>
          <w:lang w:val="fr-CA"/>
        </w:rPr>
        <w:t xml:space="preserve">2, </w:t>
      </w:r>
      <w:r w:rsidRPr="00DE4A9F">
        <w:rPr>
          <w:szCs w:val="24"/>
          <w:lang w:val="fr-CA"/>
        </w:rPr>
        <w:t>112, 133, 135</w:t>
      </w:r>
      <w:r w:rsidR="009246D4" w:rsidRPr="00DE4A9F">
        <w:rPr>
          <w:szCs w:val="24"/>
          <w:lang w:val="fr-CA"/>
        </w:rPr>
        <w:t>, 139 al.</w:t>
      </w:r>
      <w:r w:rsidR="00741D5F" w:rsidRPr="00DE4A9F">
        <w:rPr>
          <w:szCs w:val="24"/>
          <w:lang w:val="fr-CA"/>
        </w:rPr>
        <w:t xml:space="preserve"> </w:t>
      </w:r>
      <w:r w:rsidR="009246D4" w:rsidRPr="00DE4A9F">
        <w:rPr>
          <w:szCs w:val="24"/>
          <w:lang w:val="fr-CA"/>
        </w:rPr>
        <w:t>1, 140</w:t>
      </w:r>
      <w:r w:rsidRPr="00DE4A9F">
        <w:rPr>
          <w:szCs w:val="24"/>
          <w:lang w:val="fr-CA"/>
        </w:rPr>
        <w:t>, 322,</w:t>
      </w:r>
      <w:r w:rsidR="00885F72" w:rsidRPr="00DE4A9F">
        <w:rPr>
          <w:szCs w:val="24"/>
          <w:lang w:val="fr-CA"/>
        </w:rPr>
        <w:t xml:space="preserve"> 345,</w:t>
      </w:r>
      <w:r w:rsidRPr="00DE4A9F">
        <w:rPr>
          <w:szCs w:val="24"/>
          <w:lang w:val="fr-CA"/>
        </w:rPr>
        <w:t xml:space="preserve"> 494.</w:t>
      </w:r>
    </w:p>
    <w:p w14:paraId="25F3AA3E" w14:textId="0B83AAD4" w:rsidR="000B553A" w:rsidRPr="00DE4A9F" w:rsidRDefault="000B553A" w:rsidP="00C870CA">
      <w:pPr>
        <w:pStyle w:val="SCCNormalDoubleSpacing"/>
        <w:spacing w:after="240" w:line="240" w:lineRule="auto"/>
        <w:ind w:left="547" w:hanging="547"/>
        <w:rPr>
          <w:szCs w:val="24"/>
          <w:lang w:val="fr-CA"/>
        </w:rPr>
      </w:pPr>
      <w:r w:rsidRPr="00DE4A9F">
        <w:rPr>
          <w:i/>
          <w:szCs w:val="24"/>
          <w:lang w:val="fr-CA"/>
        </w:rPr>
        <w:t>Loi concernant les jugements déclaratifs de décès</w:t>
      </w:r>
      <w:r w:rsidRPr="00DE4A9F">
        <w:rPr>
          <w:szCs w:val="24"/>
          <w:lang w:val="fr-CA"/>
        </w:rPr>
        <w:t>, L.Q. 1969, c.</w:t>
      </w:r>
      <w:r w:rsidR="006636C6" w:rsidRPr="00DE4A9F">
        <w:rPr>
          <w:szCs w:val="24"/>
          <w:lang w:val="fr-CA"/>
        </w:rPr>
        <w:t xml:space="preserve"> </w:t>
      </w:r>
      <w:r w:rsidRPr="00DE4A9F">
        <w:rPr>
          <w:szCs w:val="24"/>
          <w:lang w:val="fr-CA"/>
        </w:rPr>
        <w:t>79.</w:t>
      </w:r>
    </w:p>
    <w:p w14:paraId="7AA136BF" w14:textId="52D24391" w:rsidR="0055776B" w:rsidRPr="00DE4A9F" w:rsidRDefault="0055776B" w:rsidP="00C870CA">
      <w:pPr>
        <w:pStyle w:val="SCCNormalDoubleSpacing"/>
        <w:spacing w:after="720" w:line="240" w:lineRule="auto"/>
        <w:ind w:left="547" w:hanging="547"/>
        <w:rPr>
          <w:color w:val="000000"/>
          <w:szCs w:val="24"/>
          <w:lang w:val="fr-CA"/>
        </w:rPr>
      </w:pPr>
      <w:r w:rsidRPr="00DE4A9F">
        <w:rPr>
          <w:rStyle w:val="solexhl"/>
          <w:rFonts w:eastAsiaTheme="majorEastAsia"/>
          <w:i/>
          <w:iCs/>
          <w:color w:val="000000"/>
          <w:szCs w:val="24"/>
          <w:lang w:val="fr-CA"/>
        </w:rPr>
        <w:t>Loi sur le divorce</w:t>
      </w:r>
      <w:r w:rsidRPr="00DE4A9F">
        <w:rPr>
          <w:rStyle w:val="solexhl"/>
          <w:rFonts w:eastAsiaTheme="majorEastAsia"/>
          <w:color w:val="000000"/>
          <w:szCs w:val="24"/>
          <w:lang w:val="fr-CA"/>
        </w:rPr>
        <w:t>, L.R.C. 1985</w:t>
      </w:r>
      <w:r w:rsidRPr="00DE4A9F">
        <w:rPr>
          <w:color w:val="000000"/>
          <w:szCs w:val="24"/>
          <w:lang w:val="fr-CA"/>
        </w:rPr>
        <w:t>, c.</w:t>
      </w:r>
      <w:r w:rsidR="006636C6" w:rsidRPr="00DE4A9F">
        <w:rPr>
          <w:color w:val="000000"/>
          <w:szCs w:val="24"/>
          <w:lang w:val="fr-CA"/>
        </w:rPr>
        <w:t xml:space="preserve"> </w:t>
      </w:r>
      <w:r w:rsidRPr="00DE4A9F">
        <w:rPr>
          <w:color w:val="000000"/>
          <w:szCs w:val="24"/>
          <w:lang w:val="fr-CA"/>
        </w:rPr>
        <w:t>3 (2</w:t>
      </w:r>
      <w:r w:rsidRPr="00DE4A9F">
        <w:rPr>
          <w:color w:val="000000"/>
          <w:szCs w:val="24"/>
          <w:vertAlign w:val="superscript"/>
          <w:lang w:val="fr-CA"/>
        </w:rPr>
        <w:t>e</w:t>
      </w:r>
      <w:r w:rsidR="006636C6" w:rsidRPr="00DE4A9F">
        <w:rPr>
          <w:color w:val="000000"/>
          <w:szCs w:val="24"/>
          <w:lang w:val="fr-CA"/>
        </w:rPr>
        <w:t xml:space="preserve"> </w:t>
      </w:r>
      <w:r w:rsidRPr="00DE4A9F">
        <w:rPr>
          <w:color w:val="000000"/>
          <w:szCs w:val="24"/>
          <w:lang w:val="fr-CA"/>
        </w:rPr>
        <w:t>suppl.), art.</w:t>
      </w:r>
      <w:r w:rsidR="006636C6" w:rsidRPr="00DE4A9F">
        <w:rPr>
          <w:color w:val="000000"/>
          <w:szCs w:val="24"/>
          <w:lang w:val="fr-CA"/>
        </w:rPr>
        <w:t xml:space="preserve"> </w:t>
      </w:r>
      <w:r w:rsidRPr="00DE4A9F">
        <w:rPr>
          <w:color w:val="000000"/>
          <w:szCs w:val="24"/>
          <w:lang w:val="fr-CA"/>
        </w:rPr>
        <w:t>8(1), (2)a).</w:t>
      </w:r>
    </w:p>
    <w:p w14:paraId="3F53EDC8" w14:textId="77777777" w:rsidR="00364C65" w:rsidRPr="00DE4A9F" w:rsidRDefault="00364C65" w:rsidP="00C870CA">
      <w:pPr>
        <w:pStyle w:val="SCCNormalDoubleSpacing"/>
        <w:spacing w:after="720" w:line="240" w:lineRule="auto"/>
        <w:rPr>
          <w:b/>
          <w:szCs w:val="24"/>
          <w:lang w:val="fr-CA"/>
        </w:rPr>
      </w:pPr>
      <w:r w:rsidRPr="00DE4A9F">
        <w:rPr>
          <w:b/>
          <w:szCs w:val="24"/>
          <w:lang w:val="fr-CA"/>
        </w:rPr>
        <w:t>Traités et autres instruments internationaux</w:t>
      </w:r>
    </w:p>
    <w:p w14:paraId="15BE4037" w14:textId="0DA69A36" w:rsidR="004D7D95" w:rsidRPr="00DE4A9F" w:rsidRDefault="00364C65" w:rsidP="00C870CA">
      <w:pPr>
        <w:pStyle w:val="SCCNormalDoubleSpacing"/>
        <w:spacing w:after="720" w:line="240" w:lineRule="auto"/>
        <w:ind w:left="547" w:hanging="547"/>
        <w:rPr>
          <w:szCs w:val="24"/>
          <w:lang w:val="fr-CA"/>
        </w:rPr>
      </w:pPr>
      <w:r w:rsidRPr="00DE4A9F">
        <w:rPr>
          <w:i/>
          <w:szCs w:val="24"/>
          <w:lang w:val="fr-CA"/>
        </w:rPr>
        <w:t>Convention relative à la signification et la notification à l’étranger des actes judiciaires et extrajudiciaires en matière civile ou commercial</w:t>
      </w:r>
      <w:r w:rsidR="00885F72" w:rsidRPr="00DE4A9F">
        <w:rPr>
          <w:i/>
          <w:szCs w:val="24"/>
          <w:lang w:val="fr-CA"/>
        </w:rPr>
        <w:t>e</w:t>
      </w:r>
      <w:r w:rsidRPr="00DE4A9F">
        <w:rPr>
          <w:szCs w:val="24"/>
          <w:lang w:val="fr-CA"/>
        </w:rPr>
        <w:t>,</w:t>
      </w:r>
      <w:r w:rsidRPr="00DE4A9F">
        <w:rPr>
          <w:i/>
          <w:szCs w:val="24"/>
          <w:lang w:val="fr-CA"/>
        </w:rPr>
        <w:t xml:space="preserve"> </w:t>
      </w:r>
      <w:r w:rsidRPr="00DE4A9F">
        <w:rPr>
          <w:szCs w:val="24"/>
          <w:lang w:val="fr-CA"/>
        </w:rPr>
        <w:t xml:space="preserve">R.T. Can. 1989 </w:t>
      </w:r>
      <w:proofErr w:type="gramStart"/>
      <w:r w:rsidRPr="00DE4A9F">
        <w:rPr>
          <w:szCs w:val="24"/>
          <w:lang w:val="fr-CA"/>
        </w:rPr>
        <w:t>n</w:t>
      </w:r>
      <w:r w:rsidRPr="00DE4A9F">
        <w:rPr>
          <w:szCs w:val="24"/>
          <w:vertAlign w:val="superscript"/>
          <w:lang w:val="fr-CA"/>
        </w:rPr>
        <w:t>o</w:t>
      </w:r>
      <w:proofErr w:type="gramEnd"/>
      <w:r w:rsidRPr="00DE4A9F">
        <w:rPr>
          <w:szCs w:val="24"/>
          <w:lang w:val="fr-CA"/>
        </w:rPr>
        <w:t xml:space="preserve"> 2.</w:t>
      </w:r>
    </w:p>
    <w:p w14:paraId="55FA9D59" w14:textId="77777777" w:rsidR="004D7D95" w:rsidRPr="00DE4A9F" w:rsidRDefault="004D7D95" w:rsidP="00C870CA">
      <w:pPr>
        <w:pStyle w:val="SCCNormalDoubleSpacing"/>
        <w:spacing w:after="720" w:line="240" w:lineRule="auto"/>
        <w:rPr>
          <w:b/>
          <w:szCs w:val="24"/>
          <w:lang w:val="fr-CA"/>
        </w:rPr>
      </w:pPr>
      <w:r w:rsidRPr="00DE4A9F">
        <w:rPr>
          <w:b/>
          <w:szCs w:val="24"/>
          <w:lang w:val="fr-CA"/>
        </w:rPr>
        <w:t>Doctrine et autres documents cités</w:t>
      </w:r>
    </w:p>
    <w:p w14:paraId="088C16BF" w14:textId="4D6E463C" w:rsidR="000B553A" w:rsidRPr="00DE4A9F" w:rsidRDefault="000B553A" w:rsidP="00C870CA">
      <w:pPr>
        <w:pStyle w:val="SCCNormalDoubleSpacing"/>
        <w:spacing w:after="240" w:line="240" w:lineRule="auto"/>
        <w:ind w:left="547" w:hanging="547"/>
        <w:rPr>
          <w:szCs w:val="24"/>
          <w:lang w:val="fr-CA"/>
        </w:rPr>
      </w:pPr>
      <w:r w:rsidRPr="00DE4A9F">
        <w:rPr>
          <w:color w:val="000000"/>
          <w:szCs w:val="24"/>
          <w:lang w:val="fr-CA"/>
        </w:rPr>
        <w:t>Allard, France.</w:t>
      </w:r>
      <w:r w:rsidRPr="00DE4A9F">
        <w:rPr>
          <w:szCs w:val="24"/>
          <w:lang w:val="fr-CA"/>
        </w:rPr>
        <w:t xml:space="preserve"> « La </w:t>
      </w:r>
      <w:r w:rsidRPr="00DE4A9F">
        <w:rPr>
          <w:i/>
          <w:szCs w:val="24"/>
          <w:lang w:val="fr-CA"/>
        </w:rPr>
        <w:t>Charte des droits et libertés de la personne</w:t>
      </w:r>
      <w:r w:rsidRPr="00DE4A9F">
        <w:rPr>
          <w:szCs w:val="24"/>
          <w:lang w:val="fr-CA"/>
        </w:rPr>
        <w:t xml:space="preserve"> et le </w:t>
      </w:r>
      <w:r w:rsidRPr="00DE4A9F">
        <w:rPr>
          <w:i/>
          <w:szCs w:val="24"/>
          <w:lang w:val="fr-CA"/>
        </w:rPr>
        <w:t>Code civil du Québec</w:t>
      </w:r>
      <w:r w:rsidRPr="00DE4A9F">
        <w:rPr>
          <w:szCs w:val="24"/>
          <w:lang w:val="fr-CA"/>
        </w:rPr>
        <w:t xml:space="preserve"> : deux textes fondamentaux du droit civil québécois dans une relation d’“harmonie ambiguë” », [2006] </w:t>
      </w:r>
      <w:r w:rsidRPr="00DE4A9F">
        <w:rPr>
          <w:i/>
          <w:szCs w:val="24"/>
          <w:lang w:val="fr-CA"/>
        </w:rPr>
        <w:t>R. du B.</w:t>
      </w:r>
      <w:r w:rsidRPr="00DE4A9F">
        <w:rPr>
          <w:szCs w:val="24"/>
          <w:lang w:val="fr-CA"/>
        </w:rPr>
        <w:t xml:space="preserve"> (numéro thématique) 33.</w:t>
      </w:r>
    </w:p>
    <w:p w14:paraId="169AB652" w14:textId="77777777" w:rsidR="00E86041" w:rsidRPr="00DE4A9F" w:rsidRDefault="00E86041" w:rsidP="00E86041">
      <w:pPr>
        <w:pStyle w:val="SCCNormalDoubleSpacing"/>
        <w:spacing w:after="240" w:line="240" w:lineRule="auto"/>
        <w:ind w:left="547" w:hanging="547"/>
        <w:rPr>
          <w:iCs/>
          <w:lang w:val="fr-CA"/>
        </w:rPr>
      </w:pPr>
      <w:bookmarkStart w:id="1" w:name="_Hlk223436018"/>
      <w:r w:rsidRPr="00DE4A9F">
        <w:rPr>
          <w:szCs w:val="24"/>
          <w:lang w:val="fr-CA"/>
        </w:rPr>
        <w:t xml:space="preserve">Auger, Jacques. </w:t>
      </w:r>
      <w:r w:rsidRPr="00DE4A9F">
        <w:rPr>
          <w:lang w:val="fr-CA"/>
        </w:rPr>
        <w:t xml:space="preserve">« Successible disparu : que faire? » (2009), 18:2 </w:t>
      </w:r>
      <w:r w:rsidRPr="00DE4A9F">
        <w:rPr>
          <w:i/>
          <w:iCs/>
          <w:lang w:val="fr-CA"/>
        </w:rPr>
        <w:t xml:space="preserve">Entracte </w:t>
      </w:r>
      <w:r w:rsidRPr="00DE4A9F">
        <w:rPr>
          <w:iCs/>
          <w:lang w:val="fr-CA"/>
        </w:rPr>
        <w:t>5.</w:t>
      </w:r>
    </w:p>
    <w:bookmarkEnd w:id="1"/>
    <w:p w14:paraId="3E6458DE" w14:textId="77777777" w:rsidR="002D1DE8" w:rsidRPr="00DE4A9F" w:rsidRDefault="002D1DE8" w:rsidP="00E86041">
      <w:pPr>
        <w:pStyle w:val="SCCNormalDoubleSpacing"/>
        <w:spacing w:after="240" w:line="240" w:lineRule="auto"/>
        <w:ind w:left="547" w:hanging="547"/>
        <w:rPr>
          <w:szCs w:val="24"/>
          <w:lang w:val="fr-CA"/>
        </w:rPr>
      </w:pPr>
      <w:r w:rsidRPr="00DE4A9F">
        <w:rPr>
          <w:szCs w:val="24"/>
          <w:lang w:val="fr-CA"/>
        </w:rPr>
        <w:t xml:space="preserve">Beauchamp, Michel, avec la collaboration de Cindy Gilbert. </w:t>
      </w:r>
      <w:r w:rsidRPr="00DE4A9F">
        <w:rPr>
          <w:i/>
          <w:iCs/>
          <w:lang w:val="fr-CA"/>
        </w:rPr>
        <w:t>Tutelle, curatelle et mandat de protection</w:t>
      </w:r>
      <w:r w:rsidRPr="00DE4A9F">
        <w:rPr>
          <w:iCs/>
          <w:lang w:val="fr-CA"/>
        </w:rPr>
        <w:t>, Montréal, Yvon Blais, 2014.</w:t>
      </w:r>
    </w:p>
    <w:p w14:paraId="2AB20B7A" w14:textId="77777777" w:rsidR="002D1DE8" w:rsidRPr="00DE4A9F" w:rsidRDefault="002D1DE8" w:rsidP="00E86041">
      <w:pPr>
        <w:pStyle w:val="SCCNormalDoubleSpacing"/>
        <w:spacing w:after="240" w:line="240" w:lineRule="auto"/>
        <w:ind w:left="547" w:hanging="547"/>
        <w:rPr>
          <w:iCs/>
          <w:lang w:val="fr-CA"/>
        </w:rPr>
      </w:pPr>
      <w:r w:rsidRPr="00DE4A9F">
        <w:rPr>
          <w:szCs w:val="24"/>
          <w:lang w:val="fr-CA"/>
        </w:rPr>
        <w:t xml:space="preserve">Beaulne, Jacques. </w:t>
      </w:r>
      <w:r w:rsidRPr="00DE4A9F">
        <w:rPr>
          <w:i/>
          <w:iCs/>
          <w:szCs w:val="24"/>
          <w:lang w:val="fr-CA"/>
        </w:rPr>
        <w:t>La liquidation des successions</w:t>
      </w:r>
      <w:r w:rsidRPr="00DE4A9F">
        <w:rPr>
          <w:szCs w:val="24"/>
          <w:lang w:val="fr-CA"/>
        </w:rPr>
        <w:t>, 2</w:t>
      </w:r>
      <w:r w:rsidRPr="00DE4A9F">
        <w:rPr>
          <w:szCs w:val="24"/>
          <w:vertAlign w:val="superscript"/>
          <w:lang w:val="fr-CA"/>
        </w:rPr>
        <w:t>e</w:t>
      </w:r>
      <w:r w:rsidRPr="00DE4A9F">
        <w:rPr>
          <w:szCs w:val="24"/>
          <w:lang w:val="fr-CA"/>
        </w:rPr>
        <w:t xml:space="preserve"> éd. </w:t>
      </w:r>
      <w:proofErr w:type="gramStart"/>
      <w:r w:rsidRPr="00DE4A9F">
        <w:rPr>
          <w:szCs w:val="24"/>
          <w:lang w:val="fr-CA"/>
        </w:rPr>
        <w:t>mise</w:t>
      </w:r>
      <w:proofErr w:type="gramEnd"/>
      <w:r w:rsidRPr="00DE4A9F">
        <w:rPr>
          <w:szCs w:val="24"/>
          <w:lang w:val="fr-CA"/>
        </w:rPr>
        <w:t xml:space="preserve"> à jour par Michel Beauchamp, Montréal, Wilson &amp; Lafleur, 2016.</w:t>
      </w:r>
    </w:p>
    <w:p w14:paraId="0B6EFE19" w14:textId="77777777" w:rsidR="002D1DE8" w:rsidRPr="00DE4A9F" w:rsidRDefault="002D1DE8" w:rsidP="00C870CA">
      <w:pPr>
        <w:pStyle w:val="SCCNormalDoubleSpacing"/>
        <w:tabs>
          <w:tab w:val="clear" w:pos="1168"/>
          <w:tab w:val="left" w:pos="5133"/>
        </w:tabs>
        <w:spacing w:after="240" w:line="240" w:lineRule="auto"/>
        <w:ind w:left="547" w:hanging="547"/>
        <w:rPr>
          <w:szCs w:val="24"/>
          <w:lang w:val="fr-CA"/>
        </w:rPr>
      </w:pPr>
      <w:r w:rsidRPr="00DE4A9F">
        <w:rPr>
          <w:szCs w:val="24"/>
          <w:lang w:val="fr-CA"/>
        </w:rPr>
        <w:t xml:space="preserve">Boulanger-Bonnelly, Jérémy. « Contributions civilistes à l’interprétation des lois constitutionnelles canadiennes » (2025), 70 </w:t>
      </w:r>
      <w:r w:rsidRPr="00DE4A9F">
        <w:rPr>
          <w:i/>
          <w:szCs w:val="24"/>
          <w:lang w:val="fr-CA"/>
        </w:rPr>
        <w:t>R.D.</w:t>
      </w:r>
      <w:r w:rsidRPr="00DE4A9F">
        <w:rPr>
          <w:szCs w:val="24"/>
          <w:lang w:val="fr-CA"/>
        </w:rPr>
        <w:t xml:space="preserve"> </w:t>
      </w:r>
      <w:r w:rsidRPr="00DE4A9F">
        <w:rPr>
          <w:i/>
          <w:iCs/>
          <w:szCs w:val="24"/>
          <w:lang w:val="fr-CA"/>
        </w:rPr>
        <w:t xml:space="preserve">McGill </w:t>
      </w:r>
      <w:r w:rsidRPr="00DE4A9F">
        <w:rPr>
          <w:szCs w:val="24"/>
          <w:lang w:val="fr-CA"/>
        </w:rPr>
        <w:t>203.</w:t>
      </w:r>
    </w:p>
    <w:p w14:paraId="176E88FF" w14:textId="77777777" w:rsidR="002D1DE8" w:rsidRPr="00DE4A9F" w:rsidRDefault="002D1DE8" w:rsidP="00C870CA">
      <w:pPr>
        <w:pStyle w:val="SCCNormalDoubleSpacing"/>
        <w:spacing w:after="240" w:line="240" w:lineRule="auto"/>
        <w:ind w:left="547" w:hanging="547"/>
        <w:rPr>
          <w:color w:val="000000"/>
          <w:szCs w:val="24"/>
          <w:lang w:val="fr-CA"/>
        </w:rPr>
      </w:pPr>
      <w:r w:rsidRPr="00DE4A9F">
        <w:rPr>
          <w:color w:val="000000"/>
          <w:szCs w:val="24"/>
          <w:lang w:val="fr-CA"/>
        </w:rPr>
        <w:lastRenderedPageBreak/>
        <w:t>Cloutier, Étienne. « </w:t>
      </w:r>
      <w:r w:rsidRPr="00DE4A9F">
        <w:rPr>
          <w:rStyle w:val="solexhl"/>
          <w:rFonts w:eastAsiaTheme="majorEastAsia"/>
          <w:color w:val="000000"/>
          <w:szCs w:val="24"/>
          <w:lang w:val="fr-CA"/>
        </w:rPr>
        <w:t>Origines et évolution du droit québécois de l’absence : de l’existence incertaine aux présomptions de vie et de mort</w:t>
      </w:r>
      <w:r w:rsidRPr="00DE4A9F">
        <w:rPr>
          <w:color w:val="000000"/>
          <w:szCs w:val="24"/>
          <w:lang w:val="fr-CA"/>
        </w:rPr>
        <w:t xml:space="preserve"> » (2017), 63 </w:t>
      </w:r>
      <w:r w:rsidRPr="00DE4A9F">
        <w:rPr>
          <w:i/>
          <w:iCs/>
          <w:color w:val="000000"/>
          <w:szCs w:val="24"/>
          <w:lang w:val="fr-CA"/>
        </w:rPr>
        <w:t>R.D. McGill</w:t>
      </w:r>
      <w:r w:rsidRPr="00DE4A9F">
        <w:rPr>
          <w:color w:val="000000"/>
          <w:szCs w:val="24"/>
          <w:lang w:val="fr-CA"/>
        </w:rPr>
        <w:t xml:space="preserve"> 247.</w:t>
      </w:r>
    </w:p>
    <w:p w14:paraId="068A69F2" w14:textId="77777777" w:rsidR="002D1DE8" w:rsidRPr="00DE4A9F" w:rsidRDefault="002D1DE8"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Cornu, Gérard. </w:t>
      </w:r>
      <w:r w:rsidRPr="00DE4A9F">
        <w:rPr>
          <w:i/>
          <w:iCs/>
          <w:color w:val="000000"/>
          <w:szCs w:val="24"/>
          <w:lang w:val="fr-CA"/>
        </w:rPr>
        <w:t>Linguistique juridique</w:t>
      </w:r>
      <w:r w:rsidRPr="00DE4A9F">
        <w:rPr>
          <w:color w:val="000000"/>
          <w:szCs w:val="24"/>
          <w:lang w:val="fr-CA"/>
        </w:rPr>
        <w:t>, 3</w:t>
      </w:r>
      <w:r w:rsidRPr="00DE4A9F">
        <w:rPr>
          <w:color w:val="000000"/>
          <w:szCs w:val="24"/>
          <w:vertAlign w:val="superscript"/>
          <w:lang w:val="fr-CA"/>
        </w:rPr>
        <w:t>e</w:t>
      </w:r>
      <w:r w:rsidRPr="00DE4A9F">
        <w:rPr>
          <w:color w:val="000000"/>
          <w:szCs w:val="24"/>
          <w:lang w:val="fr-CA"/>
        </w:rPr>
        <w:t xml:space="preserve"> éd., Paris, Montchrestien, 2005.</w:t>
      </w:r>
    </w:p>
    <w:p w14:paraId="070F0B16" w14:textId="77777777" w:rsidR="002D1DE8" w:rsidRPr="00DE4A9F" w:rsidRDefault="002D1DE8" w:rsidP="00C870CA">
      <w:pPr>
        <w:pStyle w:val="SCCNormalDoubleSpacing"/>
        <w:spacing w:after="240" w:line="240" w:lineRule="auto"/>
        <w:ind w:left="547" w:hanging="547"/>
        <w:rPr>
          <w:color w:val="000000"/>
          <w:szCs w:val="24"/>
          <w:lang w:val="fr-CA"/>
        </w:rPr>
      </w:pPr>
      <w:r w:rsidRPr="00DE4A9F">
        <w:rPr>
          <w:color w:val="000000"/>
          <w:szCs w:val="24"/>
          <w:lang w:val="fr-CA"/>
        </w:rPr>
        <w:t>Corral Talciani, Hernán, et María Sara Rodriguez Pinto. « </w:t>
      </w:r>
      <w:r w:rsidRPr="00DE4A9F">
        <w:rPr>
          <w:rStyle w:val="solexhl"/>
          <w:rFonts w:eastAsiaTheme="majorEastAsia"/>
          <w:color w:val="000000"/>
          <w:szCs w:val="24"/>
          <w:lang w:val="fr-CA"/>
        </w:rPr>
        <w:t>Disparition de personnes et présomption de décès : observations de droit comparé</w:t>
      </w:r>
      <w:r w:rsidRPr="00DE4A9F">
        <w:rPr>
          <w:color w:val="000000"/>
          <w:szCs w:val="24"/>
          <w:lang w:val="fr-CA"/>
        </w:rPr>
        <w:t xml:space="preserve"> » (2000), 52 </w:t>
      </w:r>
      <w:r w:rsidRPr="00DE4A9F">
        <w:rPr>
          <w:i/>
          <w:iCs/>
          <w:color w:val="000000"/>
          <w:szCs w:val="24"/>
          <w:lang w:val="fr-CA"/>
        </w:rPr>
        <w:t>R.I.D.C.</w:t>
      </w:r>
      <w:r w:rsidRPr="00DE4A9F">
        <w:rPr>
          <w:color w:val="000000"/>
          <w:szCs w:val="24"/>
          <w:lang w:val="fr-CA"/>
        </w:rPr>
        <w:t xml:space="preserve"> 553.</w:t>
      </w:r>
    </w:p>
    <w:p w14:paraId="6728F7DF" w14:textId="2CC6A210" w:rsidR="002D1DE8" w:rsidRPr="00DE4A9F" w:rsidRDefault="002D1DE8" w:rsidP="00C870CA">
      <w:pPr>
        <w:pStyle w:val="SCCNormalDoubleSpacing"/>
        <w:spacing w:after="240" w:line="240" w:lineRule="auto"/>
        <w:ind w:left="547" w:hanging="547"/>
        <w:rPr>
          <w:color w:val="000000"/>
          <w:szCs w:val="24"/>
          <w:lang w:val="fr-CA"/>
        </w:rPr>
      </w:pPr>
      <w:r w:rsidRPr="00DE4A9F">
        <w:rPr>
          <w:color w:val="000000"/>
          <w:szCs w:val="24"/>
          <w:lang w:val="fr-CA"/>
        </w:rPr>
        <w:t>Côté, Pierre</w:t>
      </w:r>
      <w:r w:rsidR="00C72EE2" w:rsidRPr="00DE4A9F">
        <w:rPr>
          <w:color w:val="000000"/>
          <w:szCs w:val="24"/>
          <w:lang w:val="fr-CA"/>
        </w:rPr>
        <w:t>-</w:t>
      </w:r>
      <w:r w:rsidRPr="00DE4A9F">
        <w:rPr>
          <w:color w:val="000000"/>
          <w:szCs w:val="24"/>
          <w:lang w:val="fr-CA"/>
        </w:rPr>
        <w:t xml:space="preserve">André, et Mathieu </w:t>
      </w:r>
      <w:r w:rsidRPr="00DE4A9F">
        <w:rPr>
          <w:rStyle w:val="solexhl"/>
          <w:rFonts w:eastAsiaTheme="majorEastAsia"/>
          <w:color w:val="000000"/>
          <w:szCs w:val="24"/>
          <w:lang w:val="fr-CA"/>
        </w:rPr>
        <w:t xml:space="preserve">Devinat. </w:t>
      </w:r>
      <w:r w:rsidRPr="00DE4A9F">
        <w:rPr>
          <w:rStyle w:val="solexhl"/>
          <w:rFonts w:eastAsiaTheme="majorEastAsia"/>
          <w:i/>
          <w:iCs/>
          <w:color w:val="000000"/>
          <w:szCs w:val="24"/>
          <w:lang w:val="fr-CA"/>
        </w:rPr>
        <w:t>Interprétation des lois</w:t>
      </w:r>
      <w:r w:rsidRPr="00DE4A9F">
        <w:rPr>
          <w:color w:val="000000"/>
          <w:szCs w:val="24"/>
          <w:lang w:val="fr-CA"/>
        </w:rPr>
        <w:t>, 5</w:t>
      </w:r>
      <w:r w:rsidRPr="00DE4A9F">
        <w:rPr>
          <w:color w:val="000000"/>
          <w:szCs w:val="24"/>
          <w:vertAlign w:val="superscript"/>
          <w:lang w:val="fr-CA"/>
        </w:rPr>
        <w:t>e</w:t>
      </w:r>
      <w:r w:rsidRPr="00DE4A9F">
        <w:rPr>
          <w:color w:val="000000"/>
          <w:szCs w:val="24"/>
          <w:lang w:val="fr-CA"/>
        </w:rPr>
        <w:t xml:space="preserve"> éd., Montréal, Thémis, 2021.</w:t>
      </w:r>
    </w:p>
    <w:p w14:paraId="29BA1EA6" w14:textId="77777777" w:rsidR="002D1DE8" w:rsidRPr="00DE4A9F" w:rsidRDefault="002D1DE8" w:rsidP="00C870CA">
      <w:pPr>
        <w:pStyle w:val="SCCNormalDoubleSpacing"/>
        <w:spacing w:after="240" w:line="240" w:lineRule="auto"/>
        <w:ind w:left="547" w:hanging="547"/>
        <w:rPr>
          <w:color w:val="000000"/>
          <w:szCs w:val="24"/>
          <w:lang w:val="fr-CA"/>
        </w:rPr>
      </w:pPr>
      <w:bookmarkStart w:id="2" w:name="_Hlk223465743"/>
      <w:r w:rsidRPr="00DE4A9F">
        <w:rPr>
          <w:color w:val="000000"/>
          <w:szCs w:val="24"/>
          <w:lang w:val="fr-CA"/>
        </w:rPr>
        <w:t xml:space="preserve">Desquiron, A.-T. </w:t>
      </w:r>
      <w:r w:rsidRPr="00DE4A9F">
        <w:rPr>
          <w:i/>
          <w:color w:val="000000"/>
          <w:szCs w:val="24"/>
          <w:lang w:val="fr-CA"/>
        </w:rPr>
        <w:t>Traité du domicile et de l’absence</w:t>
      </w:r>
      <w:r w:rsidRPr="00DE4A9F">
        <w:rPr>
          <w:color w:val="000000"/>
          <w:szCs w:val="24"/>
          <w:lang w:val="fr-CA"/>
        </w:rPr>
        <w:t>, Paris, H. Nicolle, 1812.</w:t>
      </w:r>
    </w:p>
    <w:bookmarkEnd w:id="2"/>
    <w:p w14:paraId="64368AB6" w14:textId="107BE937" w:rsidR="002D1DE8" w:rsidRPr="00DE4A9F" w:rsidRDefault="002D1DE8" w:rsidP="0093051D">
      <w:pPr>
        <w:pStyle w:val="SCCNormalDoubleSpacing"/>
        <w:spacing w:after="240" w:line="240" w:lineRule="auto"/>
        <w:ind w:left="547" w:hanging="547"/>
        <w:rPr>
          <w:color w:val="000000"/>
          <w:lang w:val="fr-CA"/>
        </w:rPr>
      </w:pPr>
      <w:r w:rsidRPr="00DE4A9F">
        <w:rPr>
          <w:color w:val="000000"/>
          <w:lang w:val="fr-CA"/>
        </w:rPr>
        <w:t xml:space="preserve">Ferland, Denis, et Benoît Emery. </w:t>
      </w:r>
      <w:r w:rsidRPr="00DE4A9F">
        <w:rPr>
          <w:rStyle w:val="solexhl"/>
          <w:i/>
          <w:iCs/>
          <w:color w:val="000000"/>
          <w:lang w:val="fr-CA"/>
        </w:rPr>
        <w:t>Précis de procédure civile du Québec</w:t>
      </w:r>
      <w:r w:rsidRPr="00DE4A9F">
        <w:rPr>
          <w:color w:val="000000"/>
          <w:lang w:val="fr-CA"/>
        </w:rPr>
        <w:t>, vol. 1, 7</w:t>
      </w:r>
      <w:r w:rsidRPr="00DE4A9F">
        <w:rPr>
          <w:color w:val="000000"/>
          <w:vertAlign w:val="superscript"/>
          <w:lang w:val="fr-CA"/>
        </w:rPr>
        <w:t>e</w:t>
      </w:r>
      <w:r w:rsidRPr="00DE4A9F">
        <w:rPr>
          <w:color w:val="000000"/>
          <w:lang w:val="fr-CA"/>
        </w:rPr>
        <w:t xml:space="preserve"> éd., Montréal, Yvon Blais, 202</w:t>
      </w:r>
      <w:r w:rsidR="00FE70C1" w:rsidRPr="00DE4A9F">
        <w:rPr>
          <w:color w:val="000000"/>
          <w:lang w:val="fr-CA"/>
        </w:rPr>
        <w:t>5</w:t>
      </w:r>
      <w:r w:rsidRPr="00DE4A9F">
        <w:rPr>
          <w:color w:val="000000"/>
          <w:lang w:val="fr-CA"/>
        </w:rPr>
        <w:t>.</w:t>
      </w:r>
    </w:p>
    <w:p w14:paraId="1B74621A" w14:textId="77777777" w:rsidR="002D1DE8" w:rsidRPr="00DE4A9F" w:rsidRDefault="002D1DE8" w:rsidP="00E86041">
      <w:pPr>
        <w:pStyle w:val="SCCNormalDoubleSpacing"/>
        <w:spacing w:after="240" w:line="240" w:lineRule="auto"/>
        <w:ind w:left="547" w:hanging="547"/>
        <w:rPr>
          <w:color w:val="000000"/>
          <w:szCs w:val="24"/>
          <w:lang w:val="fr-CA"/>
        </w:rPr>
      </w:pPr>
      <w:r w:rsidRPr="00DE4A9F">
        <w:rPr>
          <w:color w:val="000000"/>
          <w:szCs w:val="24"/>
          <w:lang w:val="fr-CA"/>
        </w:rPr>
        <w:t xml:space="preserve">Gascon, Élise, et Josianne Gelfusa. « Absence et décès », dans </w:t>
      </w:r>
      <w:r w:rsidRPr="00DE4A9F">
        <w:rPr>
          <w:rStyle w:val="solexhl"/>
          <w:rFonts w:eastAsiaTheme="majorEastAsia"/>
          <w:i/>
          <w:iCs/>
          <w:color w:val="000000"/>
          <w:szCs w:val="24"/>
          <w:lang w:val="fr-CA"/>
        </w:rPr>
        <w:t>JurisClasseur Québec</w:t>
      </w:r>
      <w:r w:rsidRPr="00DE4A9F">
        <w:rPr>
          <w:i/>
          <w:iCs/>
          <w:color w:val="000000"/>
          <w:szCs w:val="24"/>
          <w:lang w:val="fr-CA"/>
        </w:rPr>
        <w:t xml:space="preserve"> — Collection Droit civil — Personnes et famille</w:t>
      </w:r>
      <w:r w:rsidRPr="00DE4A9F">
        <w:rPr>
          <w:color w:val="000000"/>
          <w:szCs w:val="24"/>
          <w:lang w:val="fr-CA"/>
        </w:rPr>
        <w:t>, par Pierre-Claude Lafond, dir., Montréal, LexisNexis, fascicule 8 (mis à jour mai 2025).</w:t>
      </w:r>
    </w:p>
    <w:p w14:paraId="5AE44E32" w14:textId="77777777" w:rsidR="002D1DE8" w:rsidRPr="00DE4A9F" w:rsidRDefault="002D1DE8" w:rsidP="00E86041">
      <w:pPr>
        <w:pStyle w:val="SCCNormalDoubleSpacing"/>
        <w:spacing w:after="240" w:line="240" w:lineRule="auto"/>
        <w:ind w:left="547" w:hanging="547"/>
        <w:rPr>
          <w:rStyle w:val="solexhl"/>
          <w:color w:val="000000"/>
          <w:szCs w:val="24"/>
          <w:lang w:val="fr-CA"/>
        </w:rPr>
      </w:pPr>
      <w:r w:rsidRPr="00DE4A9F">
        <w:rPr>
          <w:rStyle w:val="solexhl"/>
          <w:color w:val="000000"/>
          <w:szCs w:val="24"/>
          <w:lang w:val="fr-CA"/>
        </w:rPr>
        <w:t xml:space="preserve">Goubau, Dominique. </w:t>
      </w:r>
      <w:r w:rsidRPr="00DE4A9F">
        <w:rPr>
          <w:rStyle w:val="solexhl"/>
          <w:i/>
          <w:color w:val="000000"/>
          <w:szCs w:val="24"/>
          <w:lang w:val="fr-CA"/>
        </w:rPr>
        <w:t>Le droit des personnes physiques</w:t>
      </w:r>
      <w:r w:rsidRPr="00DE4A9F">
        <w:rPr>
          <w:rStyle w:val="solexhl"/>
          <w:color w:val="000000"/>
          <w:szCs w:val="24"/>
          <w:lang w:val="fr-CA"/>
        </w:rPr>
        <w:t>, 7</w:t>
      </w:r>
      <w:r w:rsidRPr="00DE4A9F">
        <w:rPr>
          <w:rStyle w:val="solexhl"/>
          <w:color w:val="000000"/>
          <w:szCs w:val="24"/>
          <w:vertAlign w:val="superscript"/>
          <w:lang w:val="fr-CA"/>
        </w:rPr>
        <w:t>e</w:t>
      </w:r>
      <w:r w:rsidRPr="00DE4A9F">
        <w:rPr>
          <w:rStyle w:val="solexhl"/>
          <w:color w:val="000000"/>
          <w:szCs w:val="24"/>
          <w:lang w:val="fr-CA"/>
        </w:rPr>
        <w:t xml:space="preserve"> éd., Montréal, Yvon Blais, 2022.</w:t>
      </w:r>
    </w:p>
    <w:p w14:paraId="0398AA56" w14:textId="277F49FB" w:rsidR="002D1DE8" w:rsidRPr="00DE4A9F" w:rsidRDefault="002D1DE8" w:rsidP="00C870CA">
      <w:pPr>
        <w:pStyle w:val="SCCNormalDoubleSpacing"/>
        <w:spacing w:after="240" w:line="240" w:lineRule="auto"/>
        <w:ind w:left="547" w:hanging="547"/>
        <w:rPr>
          <w:color w:val="000000"/>
          <w:szCs w:val="24"/>
          <w:lang w:val="fr-CA"/>
        </w:rPr>
      </w:pPr>
      <w:r w:rsidRPr="00DE4A9F">
        <w:rPr>
          <w:rStyle w:val="solexhl"/>
          <w:rFonts w:eastAsiaTheme="majorEastAsia"/>
          <w:i/>
          <w:iCs/>
          <w:color w:val="000000"/>
          <w:szCs w:val="24"/>
          <w:lang w:val="fr-CA"/>
        </w:rPr>
        <w:t>Grand Robert de la langue française</w:t>
      </w:r>
      <w:r w:rsidRPr="00DE4A9F">
        <w:rPr>
          <w:color w:val="000000"/>
          <w:szCs w:val="24"/>
          <w:lang w:val="fr-CA"/>
        </w:rPr>
        <w:t xml:space="preserve"> (version électronique), « retour ».</w:t>
      </w:r>
    </w:p>
    <w:p w14:paraId="1806A0B4"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Mignault, Pierre-Basile. </w:t>
      </w:r>
      <w:r w:rsidRPr="00DE4A9F">
        <w:rPr>
          <w:rStyle w:val="solexhl"/>
          <w:i/>
          <w:iCs/>
          <w:color w:val="000000"/>
          <w:szCs w:val="24"/>
          <w:lang w:val="fr-CA"/>
        </w:rPr>
        <w:t>Le droit civil canadien</w:t>
      </w:r>
      <w:r w:rsidRPr="00DE4A9F">
        <w:rPr>
          <w:color w:val="000000"/>
          <w:szCs w:val="24"/>
          <w:lang w:val="fr-CA"/>
        </w:rPr>
        <w:t>, t. 1, Montréal, Whiteford &amp; Théoret, 1895.</w:t>
      </w:r>
    </w:p>
    <w:p w14:paraId="514FDC73" w14:textId="5D347D60"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Ouellette, Monique. « Livre premier : Des personnes », dans </w:t>
      </w:r>
      <w:r w:rsidRPr="00DE4A9F">
        <w:rPr>
          <w:rStyle w:val="solexhl"/>
          <w:rFonts w:eastAsiaTheme="majorEastAsia"/>
          <w:i/>
          <w:iCs/>
          <w:color w:val="000000"/>
          <w:szCs w:val="24"/>
          <w:lang w:val="fr-CA"/>
        </w:rPr>
        <w:t>La réforme du Code civil</w:t>
      </w:r>
      <w:r w:rsidRPr="00DE4A9F">
        <w:rPr>
          <w:rStyle w:val="solexhl"/>
          <w:rFonts w:eastAsiaTheme="majorEastAsia"/>
          <w:color w:val="000000"/>
          <w:szCs w:val="24"/>
          <w:lang w:val="fr-CA"/>
        </w:rPr>
        <w:t>, t. 1</w:t>
      </w:r>
      <w:r w:rsidRPr="00DE4A9F">
        <w:rPr>
          <w:color w:val="000000"/>
          <w:szCs w:val="24"/>
          <w:lang w:val="fr-CA"/>
        </w:rPr>
        <w:t xml:space="preserve">, </w:t>
      </w:r>
      <w:r w:rsidRPr="00DE4A9F">
        <w:rPr>
          <w:i/>
          <w:iCs/>
          <w:color w:val="000000"/>
          <w:szCs w:val="24"/>
          <w:lang w:val="fr-CA"/>
        </w:rPr>
        <w:t>Personnes, successions, biens</w:t>
      </w:r>
      <w:r w:rsidRPr="00DE4A9F">
        <w:rPr>
          <w:color w:val="000000"/>
          <w:szCs w:val="24"/>
          <w:lang w:val="fr-CA"/>
        </w:rPr>
        <w:t>. Textes réunis par le Barreau du Québec et la Chambre des notaires du Québec. Sainte</w:t>
      </w:r>
      <w:r w:rsidR="00C72EE2" w:rsidRPr="00DE4A9F">
        <w:rPr>
          <w:color w:val="000000"/>
          <w:szCs w:val="24"/>
          <w:lang w:val="fr-CA"/>
        </w:rPr>
        <w:t>-</w:t>
      </w:r>
      <w:r w:rsidRPr="00DE4A9F">
        <w:rPr>
          <w:color w:val="000000"/>
          <w:szCs w:val="24"/>
          <w:lang w:val="fr-CA"/>
        </w:rPr>
        <w:t>Foy (Qc), Presses de l’Université Laval, 1993, 11.</w:t>
      </w:r>
    </w:p>
    <w:p w14:paraId="7FC9176B" w14:textId="77777777" w:rsidR="008E18ED" w:rsidRPr="00DE4A9F" w:rsidRDefault="008E18ED" w:rsidP="00C870CA">
      <w:pPr>
        <w:pStyle w:val="SCCNormalDoubleSpacing"/>
        <w:spacing w:after="240" w:line="240" w:lineRule="auto"/>
        <w:ind w:left="547" w:hanging="547"/>
        <w:rPr>
          <w:color w:val="000000"/>
          <w:szCs w:val="24"/>
          <w:lang w:val="fr-CA"/>
        </w:rPr>
      </w:pPr>
      <w:bookmarkStart w:id="3" w:name="_Hlk223550004"/>
      <w:r w:rsidRPr="00DE4A9F">
        <w:rPr>
          <w:color w:val="000000"/>
          <w:szCs w:val="24"/>
          <w:lang w:val="fr-CA"/>
        </w:rPr>
        <w:t xml:space="preserve">Piché, Catherine. </w:t>
      </w:r>
      <w:r w:rsidRPr="00DE4A9F">
        <w:rPr>
          <w:i/>
          <w:color w:val="000000"/>
          <w:szCs w:val="24"/>
          <w:lang w:val="fr-CA"/>
        </w:rPr>
        <w:t>La preuve civile</w:t>
      </w:r>
      <w:r w:rsidRPr="00DE4A9F">
        <w:rPr>
          <w:color w:val="000000"/>
          <w:szCs w:val="24"/>
          <w:lang w:val="fr-CA"/>
        </w:rPr>
        <w:t>, 6</w:t>
      </w:r>
      <w:r w:rsidRPr="00DE4A9F">
        <w:rPr>
          <w:color w:val="000000"/>
          <w:szCs w:val="24"/>
          <w:vertAlign w:val="superscript"/>
          <w:lang w:val="fr-CA"/>
        </w:rPr>
        <w:t>e</w:t>
      </w:r>
      <w:r w:rsidRPr="00DE4A9F">
        <w:rPr>
          <w:color w:val="000000"/>
          <w:szCs w:val="24"/>
          <w:lang w:val="fr-CA"/>
        </w:rPr>
        <w:t xml:space="preserve"> éd., Montréal, Yvon Blais, 2020.</w:t>
      </w:r>
    </w:p>
    <w:bookmarkEnd w:id="3"/>
    <w:p w14:paraId="6094566F"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Py, Bruno. </w:t>
      </w:r>
      <w:r w:rsidRPr="00DE4A9F">
        <w:rPr>
          <w:i/>
          <w:iCs/>
          <w:lang w:val="fr-CA"/>
        </w:rPr>
        <w:t>La mort et le droit</w:t>
      </w:r>
      <w:r w:rsidRPr="00DE4A9F">
        <w:rPr>
          <w:iCs/>
          <w:lang w:val="fr-CA"/>
        </w:rPr>
        <w:t>, Paris, Presses Universitaires de France, 1997.</w:t>
      </w:r>
    </w:p>
    <w:p w14:paraId="35C4D630" w14:textId="323A5AB8"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Québec. Ministère de la Justice. </w:t>
      </w:r>
      <w:r w:rsidRPr="00DE4A9F">
        <w:rPr>
          <w:rStyle w:val="solexhl"/>
          <w:rFonts w:eastAsiaTheme="majorEastAsia"/>
          <w:i/>
          <w:iCs/>
          <w:color w:val="000000"/>
          <w:szCs w:val="24"/>
          <w:lang w:val="fr-CA"/>
        </w:rPr>
        <w:t>Commentaires du ministre de la Justice</w:t>
      </w:r>
      <w:r w:rsidRPr="00DE4A9F">
        <w:rPr>
          <w:color w:val="000000"/>
          <w:szCs w:val="24"/>
          <w:lang w:val="fr-CA"/>
        </w:rPr>
        <w:t>, t.</w:t>
      </w:r>
      <w:r w:rsidR="00C72EE2" w:rsidRPr="00DE4A9F">
        <w:rPr>
          <w:color w:val="000000"/>
          <w:szCs w:val="24"/>
          <w:lang w:val="fr-CA"/>
        </w:rPr>
        <w:t xml:space="preserve"> </w:t>
      </w:r>
      <w:r w:rsidRPr="00DE4A9F">
        <w:rPr>
          <w:color w:val="000000"/>
          <w:szCs w:val="24"/>
          <w:lang w:val="fr-CA"/>
        </w:rPr>
        <w:t>I,</w:t>
      </w:r>
      <w:r w:rsidRPr="00DE4A9F">
        <w:rPr>
          <w:i/>
          <w:iCs/>
          <w:color w:val="000000"/>
          <w:szCs w:val="24"/>
          <w:lang w:val="fr-CA"/>
        </w:rPr>
        <w:t xml:space="preserve"> Le Code civil du Québec — Un mouvement de société</w:t>
      </w:r>
      <w:r w:rsidRPr="00DE4A9F">
        <w:rPr>
          <w:color w:val="000000"/>
          <w:szCs w:val="24"/>
          <w:lang w:val="fr-CA"/>
        </w:rPr>
        <w:t>, Québec, Publications du Québec, 1993.</w:t>
      </w:r>
    </w:p>
    <w:p w14:paraId="5B59BE8F"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Québec. Office de révision du Code civil. </w:t>
      </w:r>
      <w:r w:rsidRPr="00DE4A9F">
        <w:rPr>
          <w:i/>
          <w:szCs w:val="24"/>
          <w:lang w:val="fr-CA"/>
        </w:rPr>
        <w:t>Rapport sur le Code civil du Québec</w:t>
      </w:r>
      <w:r w:rsidRPr="00DE4A9F">
        <w:rPr>
          <w:color w:val="000000"/>
          <w:szCs w:val="24"/>
          <w:lang w:val="fr-CA"/>
        </w:rPr>
        <w:t xml:space="preserve">, vol. I, </w:t>
      </w:r>
      <w:r w:rsidRPr="00DE4A9F">
        <w:rPr>
          <w:i/>
          <w:iCs/>
          <w:color w:val="000000"/>
          <w:szCs w:val="24"/>
          <w:lang w:val="fr-CA"/>
        </w:rPr>
        <w:t>Projet de Code civil</w:t>
      </w:r>
      <w:r w:rsidRPr="00DE4A9F">
        <w:rPr>
          <w:color w:val="000000"/>
          <w:szCs w:val="24"/>
          <w:lang w:val="fr-CA"/>
        </w:rPr>
        <w:t>, Québec, 1978.</w:t>
      </w:r>
    </w:p>
    <w:p w14:paraId="1CF06CF6"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Québec. Office de révision du Code civil. </w:t>
      </w:r>
      <w:r w:rsidRPr="00DE4A9F">
        <w:rPr>
          <w:rStyle w:val="solexhl"/>
          <w:rFonts w:eastAsiaTheme="majorEastAsia"/>
          <w:i/>
          <w:iCs/>
          <w:color w:val="000000"/>
          <w:szCs w:val="24"/>
          <w:lang w:val="fr-CA"/>
        </w:rPr>
        <w:t>Rapport sur le Code civil du Québec</w:t>
      </w:r>
      <w:r w:rsidRPr="00DE4A9F">
        <w:rPr>
          <w:color w:val="000000"/>
          <w:szCs w:val="24"/>
          <w:lang w:val="fr-CA"/>
        </w:rPr>
        <w:t xml:space="preserve">, vol. II, t. 1, </w:t>
      </w:r>
      <w:r w:rsidRPr="00DE4A9F">
        <w:rPr>
          <w:i/>
          <w:iCs/>
          <w:color w:val="000000"/>
          <w:szCs w:val="24"/>
          <w:lang w:val="fr-CA"/>
        </w:rPr>
        <w:t>Commentaires</w:t>
      </w:r>
      <w:r w:rsidRPr="00DE4A9F">
        <w:rPr>
          <w:color w:val="000000"/>
          <w:szCs w:val="24"/>
          <w:lang w:val="fr-CA"/>
        </w:rPr>
        <w:t>, Québec, 1978.</w:t>
      </w:r>
    </w:p>
    <w:p w14:paraId="4946C765"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lastRenderedPageBreak/>
        <w:t xml:space="preserve">Roch, Hervé. </w:t>
      </w:r>
      <w:r w:rsidRPr="00DE4A9F">
        <w:rPr>
          <w:i/>
          <w:iCs/>
          <w:color w:val="000000"/>
          <w:szCs w:val="24"/>
          <w:lang w:val="fr-CA"/>
        </w:rPr>
        <w:t>L’absence</w:t>
      </w:r>
      <w:r w:rsidRPr="00DE4A9F">
        <w:rPr>
          <w:color w:val="000000"/>
          <w:szCs w:val="24"/>
          <w:lang w:val="fr-CA"/>
        </w:rPr>
        <w:t>, Montréal, 1951.</w:t>
      </w:r>
    </w:p>
    <w:p w14:paraId="3B5C5924"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Sabourin, Frédérique. « </w:t>
      </w:r>
      <w:r w:rsidRPr="00DE4A9F">
        <w:rPr>
          <w:bCs/>
          <w:szCs w:val="24"/>
          <w:lang w:val="fr-CA"/>
        </w:rPr>
        <w:t>Les demandes intéressant le droit international privé</w:t>
      </w:r>
      <w:r w:rsidRPr="00DE4A9F">
        <w:rPr>
          <w:color w:val="000000"/>
          <w:szCs w:val="24"/>
          <w:lang w:val="fr-CA"/>
        </w:rPr>
        <w:t xml:space="preserve"> », dans Denis Ferland et Benoît Emery, dir., </w:t>
      </w:r>
      <w:r w:rsidRPr="00DE4A9F">
        <w:rPr>
          <w:rStyle w:val="solexhl"/>
          <w:rFonts w:eastAsiaTheme="majorEastAsia"/>
          <w:i/>
          <w:iCs/>
          <w:color w:val="000000"/>
          <w:szCs w:val="24"/>
          <w:lang w:val="fr-CA"/>
        </w:rPr>
        <w:t>Précis de procédure civile du Québec</w:t>
      </w:r>
      <w:r w:rsidRPr="00DE4A9F">
        <w:rPr>
          <w:color w:val="000000"/>
          <w:szCs w:val="24"/>
          <w:lang w:val="fr-CA"/>
        </w:rPr>
        <w:t>, vol. 2, 7</w:t>
      </w:r>
      <w:r w:rsidRPr="00DE4A9F">
        <w:rPr>
          <w:color w:val="000000"/>
          <w:szCs w:val="24"/>
          <w:vertAlign w:val="superscript"/>
          <w:lang w:val="fr-CA"/>
        </w:rPr>
        <w:t>e</w:t>
      </w:r>
      <w:r w:rsidRPr="00DE4A9F">
        <w:rPr>
          <w:color w:val="000000"/>
          <w:szCs w:val="24"/>
          <w:lang w:val="fr-CA"/>
        </w:rPr>
        <w:t xml:space="preserve"> éd., Montréal, Yvon Blais, 2025, 389.</w:t>
      </w:r>
    </w:p>
    <w:p w14:paraId="60D47FAF" w14:textId="77777777" w:rsidR="008E18ED" w:rsidRPr="00DE4A9F" w:rsidRDefault="008E18ED" w:rsidP="00C870CA">
      <w:pPr>
        <w:pStyle w:val="SCCNormalDoubleSpacing"/>
        <w:spacing w:after="240" w:line="240" w:lineRule="auto"/>
        <w:ind w:left="547" w:hanging="547"/>
        <w:rPr>
          <w:color w:val="000000"/>
          <w:szCs w:val="24"/>
          <w:lang w:val="fr-CA"/>
        </w:rPr>
      </w:pPr>
      <w:bookmarkStart w:id="4" w:name="_Hlk223465460"/>
      <w:r w:rsidRPr="00DE4A9F">
        <w:rPr>
          <w:color w:val="000000"/>
          <w:szCs w:val="24"/>
          <w:lang w:val="fr-CA"/>
        </w:rPr>
        <w:t xml:space="preserve">Talandier, Firmin. </w:t>
      </w:r>
      <w:r w:rsidRPr="00DE4A9F">
        <w:rPr>
          <w:i/>
          <w:color w:val="000000"/>
          <w:szCs w:val="24"/>
          <w:lang w:val="fr-CA"/>
        </w:rPr>
        <w:t>Nouveau traité des absens</w:t>
      </w:r>
      <w:r w:rsidRPr="00DE4A9F">
        <w:rPr>
          <w:color w:val="000000"/>
          <w:szCs w:val="24"/>
          <w:lang w:val="fr-CA"/>
        </w:rPr>
        <w:t>, Paris, Charles Bechet, 1831.</w:t>
      </w:r>
    </w:p>
    <w:bookmarkEnd w:id="4"/>
    <w:p w14:paraId="533352F6"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Teyssié, Bernard. </w:t>
      </w:r>
      <w:r w:rsidRPr="00DE4A9F">
        <w:rPr>
          <w:i/>
          <w:iCs/>
          <w:color w:val="000000"/>
          <w:szCs w:val="24"/>
          <w:lang w:val="fr-CA"/>
        </w:rPr>
        <w:t>Droit des personnes</w:t>
      </w:r>
      <w:r w:rsidRPr="00DE4A9F">
        <w:rPr>
          <w:color w:val="000000"/>
          <w:szCs w:val="24"/>
          <w:lang w:val="fr-CA"/>
        </w:rPr>
        <w:t>, 20</w:t>
      </w:r>
      <w:r w:rsidRPr="00DE4A9F">
        <w:rPr>
          <w:color w:val="000000"/>
          <w:szCs w:val="24"/>
          <w:vertAlign w:val="superscript"/>
          <w:lang w:val="fr-CA"/>
        </w:rPr>
        <w:t>e</w:t>
      </w:r>
      <w:r w:rsidRPr="00DE4A9F">
        <w:rPr>
          <w:color w:val="000000"/>
          <w:szCs w:val="24"/>
          <w:lang w:val="fr-CA"/>
        </w:rPr>
        <w:t xml:space="preserve"> éd., Paris, LexisNexis, 2018.</w:t>
      </w:r>
    </w:p>
    <w:p w14:paraId="730280E7" w14:textId="77777777" w:rsidR="008E18ED" w:rsidRPr="00DE4A9F" w:rsidRDefault="008E18ED" w:rsidP="00C870CA">
      <w:pPr>
        <w:pStyle w:val="SCCNormalDoubleSpacing"/>
        <w:spacing w:after="240" w:line="240" w:lineRule="auto"/>
        <w:ind w:left="547" w:hanging="547"/>
        <w:rPr>
          <w:color w:val="000000"/>
          <w:szCs w:val="24"/>
          <w:lang w:val="fr-CA"/>
        </w:rPr>
      </w:pPr>
      <w:r w:rsidRPr="00DE4A9F">
        <w:rPr>
          <w:color w:val="000000"/>
          <w:szCs w:val="24"/>
          <w:lang w:val="fr-CA"/>
        </w:rPr>
        <w:t xml:space="preserve">Trudel, Gérard. </w:t>
      </w:r>
      <w:r w:rsidRPr="00DE4A9F">
        <w:rPr>
          <w:i/>
          <w:iCs/>
          <w:color w:val="000000"/>
          <w:szCs w:val="24"/>
          <w:lang w:val="fr-CA"/>
        </w:rPr>
        <w:t>Traité de droit civil du Québec</w:t>
      </w:r>
      <w:r w:rsidRPr="00DE4A9F">
        <w:rPr>
          <w:color w:val="000000"/>
          <w:szCs w:val="24"/>
          <w:lang w:val="fr-CA"/>
        </w:rPr>
        <w:t xml:space="preserve">, t. 1, </w:t>
      </w:r>
      <w:r w:rsidRPr="00DE4A9F">
        <w:rPr>
          <w:i/>
          <w:iCs/>
          <w:color w:val="000000"/>
          <w:szCs w:val="24"/>
          <w:lang w:val="fr-CA"/>
        </w:rPr>
        <w:t>Le droit international privé, l’état civil, l’absence, le domicile, le mariage et la séparation de corps</w:t>
      </w:r>
      <w:r w:rsidRPr="00DE4A9F">
        <w:rPr>
          <w:color w:val="000000"/>
          <w:szCs w:val="24"/>
          <w:lang w:val="fr-CA"/>
        </w:rPr>
        <w:t>, Montréal, Wilson &amp; Lafleur, 1942.</w:t>
      </w:r>
    </w:p>
    <w:p w14:paraId="42182071" w14:textId="1ECB5C86" w:rsidR="008E18ED" w:rsidRPr="00DE4A9F" w:rsidRDefault="008E18ED" w:rsidP="00C870CA">
      <w:pPr>
        <w:pStyle w:val="SCCNormalDoubleSpacing"/>
        <w:spacing w:after="720" w:line="240" w:lineRule="auto"/>
        <w:ind w:left="547" w:hanging="547"/>
        <w:rPr>
          <w:color w:val="000000"/>
          <w:szCs w:val="24"/>
          <w:lang w:val="fr-CA"/>
        </w:rPr>
      </w:pPr>
      <w:r w:rsidRPr="00DE4A9F">
        <w:rPr>
          <w:color w:val="000000"/>
          <w:szCs w:val="24"/>
          <w:lang w:val="fr-CA"/>
        </w:rPr>
        <w:t>Vaillancourt, J. Sébastien. « Article 109 », dans Luc Chamberland, dir.</w:t>
      </w:r>
      <w:r w:rsidR="00B420FD" w:rsidRPr="00DE4A9F">
        <w:rPr>
          <w:color w:val="000000"/>
          <w:szCs w:val="24"/>
          <w:lang w:val="fr-CA"/>
        </w:rPr>
        <w:t>,</w:t>
      </w:r>
      <w:r w:rsidRPr="00DE4A9F">
        <w:rPr>
          <w:color w:val="000000"/>
          <w:szCs w:val="24"/>
          <w:lang w:val="fr-CA"/>
        </w:rPr>
        <w:t xml:space="preserve"> </w:t>
      </w:r>
      <w:r w:rsidRPr="00DE4A9F">
        <w:rPr>
          <w:rStyle w:val="solexhl"/>
          <w:rFonts w:eastAsiaTheme="majorEastAsia"/>
          <w:i/>
          <w:iCs/>
          <w:color w:val="000000"/>
          <w:szCs w:val="24"/>
          <w:lang w:val="fr-CA"/>
        </w:rPr>
        <w:t>Le grand collectif</w:t>
      </w:r>
      <w:r w:rsidRPr="00DE4A9F">
        <w:rPr>
          <w:i/>
          <w:iCs/>
          <w:color w:val="000000"/>
          <w:szCs w:val="24"/>
          <w:lang w:val="fr-CA"/>
        </w:rPr>
        <w:t> :</w:t>
      </w:r>
      <w:r w:rsidRPr="00DE4A9F">
        <w:rPr>
          <w:color w:val="000000"/>
          <w:szCs w:val="24"/>
          <w:lang w:val="fr-CA"/>
        </w:rPr>
        <w:t xml:space="preserve"> </w:t>
      </w:r>
      <w:r w:rsidRPr="00DE4A9F">
        <w:rPr>
          <w:i/>
          <w:iCs/>
          <w:color w:val="000000"/>
          <w:szCs w:val="24"/>
          <w:lang w:val="fr-CA"/>
        </w:rPr>
        <w:t>Code de procédure civile</w:t>
      </w:r>
      <w:r w:rsidRPr="00DE4A9F">
        <w:rPr>
          <w:color w:val="000000"/>
          <w:szCs w:val="24"/>
          <w:lang w:val="fr-CA"/>
        </w:rPr>
        <w:t xml:space="preserve"> — </w:t>
      </w:r>
      <w:r w:rsidRPr="00DE4A9F">
        <w:rPr>
          <w:i/>
          <w:iCs/>
          <w:color w:val="000000"/>
          <w:szCs w:val="24"/>
          <w:lang w:val="fr-CA"/>
        </w:rPr>
        <w:t>Commentaires et annotations</w:t>
      </w:r>
      <w:r w:rsidRPr="00DE4A9F">
        <w:rPr>
          <w:color w:val="000000"/>
          <w:szCs w:val="24"/>
          <w:lang w:val="fr-CA"/>
        </w:rPr>
        <w:t>, vol. 1, 10</w:t>
      </w:r>
      <w:r w:rsidRPr="00DE4A9F">
        <w:rPr>
          <w:color w:val="000000"/>
          <w:szCs w:val="24"/>
          <w:vertAlign w:val="superscript"/>
          <w:lang w:val="fr-CA"/>
        </w:rPr>
        <w:t>e</w:t>
      </w:r>
      <w:r w:rsidRPr="00DE4A9F">
        <w:rPr>
          <w:color w:val="000000"/>
          <w:szCs w:val="24"/>
          <w:lang w:val="fr-CA"/>
        </w:rPr>
        <w:t xml:space="preserve"> éd., Montréal, Yvon Blais, 2025.</w:t>
      </w:r>
    </w:p>
    <w:p w14:paraId="44997190" w14:textId="7CAE8AC4" w:rsidR="004D7D95" w:rsidRPr="00DE4A9F" w:rsidRDefault="004D7D95" w:rsidP="00C870CA">
      <w:pPr>
        <w:pStyle w:val="SCCNormalDoubleSpacing"/>
        <w:spacing w:after="480"/>
        <w:rPr>
          <w:szCs w:val="24"/>
          <w:lang w:val="fr-CA"/>
        </w:rPr>
      </w:pPr>
      <w:r w:rsidRPr="00DE4A9F">
        <w:rPr>
          <w:szCs w:val="24"/>
          <w:lang w:val="fr-CA"/>
        </w:rPr>
        <w:tab/>
        <w:t>POURVOI contre un arrêt de la Cour d’appel du Québec</w:t>
      </w:r>
      <w:r w:rsidR="001C55F2" w:rsidRPr="00DE4A9F">
        <w:rPr>
          <w:szCs w:val="24"/>
          <w:lang w:val="fr-CA"/>
        </w:rPr>
        <w:t xml:space="preserve"> (les juges Marcotte, Hogue et Rancourt), </w:t>
      </w:r>
      <w:hyperlink r:id="rId9" w:history="1">
        <w:r w:rsidR="001C55F2" w:rsidRPr="00DE4A9F">
          <w:rPr>
            <w:rStyle w:val="Hyperlien"/>
            <w:szCs w:val="24"/>
            <w:lang w:val="fr-CA"/>
          </w:rPr>
          <w:t>2023 QCCA 1111</w:t>
        </w:r>
      </w:hyperlink>
      <w:r w:rsidR="00037888" w:rsidRPr="00DE4A9F">
        <w:rPr>
          <w:rStyle w:val="Hyperlien"/>
          <w:szCs w:val="24"/>
          <w:lang w:val="fr-CA"/>
        </w:rPr>
        <w:t xml:space="preserve"> </w:t>
      </w:r>
      <w:r w:rsidR="00037888" w:rsidRPr="00DE4A9F">
        <w:rPr>
          <w:lang w:val="fr-CA"/>
        </w:rPr>
        <w:t>(</w:t>
      </w:r>
      <w:r w:rsidR="00037888" w:rsidRPr="00DE4A9F">
        <w:rPr>
          <w:i/>
          <w:lang w:val="fr-CA"/>
        </w:rPr>
        <w:t>sub nom. Re Imanpoorsaid</w:t>
      </w:r>
      <w:r w:rsidR="00037888" w:rsidRPr="00DE4A9F">
        <w:rPr>
          <w:lang w:val="fr-CA"/>
        </w:rPr>
        <w:t>)</w:t>
      </w:r>
      <w:r w:rsidR="001C55F2" w:rsidRPr="00DE4A9F">
        <w:rPr>
          <w:szCs w:val="24"/>
          <w:lang w:val="fr-CA"/>
        </w:rPr>
        <w:t xml:space="preserve">, </w:t>
      </w:r>
      <w:r w:rsidR="00D21EC0" w:rsidRPr="00DE4A9F">
        <w:rPr>
          <w:szCs w:val="24"/>
          <w:lang w:val="fr-CA"/>
        </w:rPr>
        <w:t>[2023] AZ-51966489, [2023] J.Q. No.</w:t>
      </w:r>
      <w:r w:rsidR="003A0C06" w:rsidRPr="00DE4A9F">
        <w:rPr>
          <w:szCs w:val="24"/>
          <w:lang w:val="fr-CA"/>
        </w:rPr>
        <w:t xml:space="preserve"> </w:t>
      </w:r>
      <w:r w:rsidR="001C55F2" w:rsidRPr="00DE4A9F">
        <w:rPr>
          <w:szCs w:val="24"/>
          <w:lang w:val="fr-CA"/>
        </w:rPr>
        <w:t xml:space="preserve">8876 (Lexis), 2023 CarswellQue 13117 (WL), </w:t>
      </w:r>
      <w:r w:rsidR="00D21EC0" w:rsidRPr="00DE4A9F">
        <w:rPr>
          <w:szCs w:val="24"/>
          <w:lang w:val="fr-FR"/>
        </w:rPr>
        <w:t xml:space="preserve">qui a </w:t>
      </w:r>
      <w:r w:rsidR="00E658B2" w:rsidRPr="00DE4A9F">
        <w:rPr>
          <w:szCs w:val="24"/>
          <w:lang w:val="fr-FR"/>
        </w:rPr>
        <w:t>accueilli en partie l’appel d’</w:t>
      </w:r>
      <w:r w:rsidR="00D21EC0" w:rsidRPr="00DE4A9F">
        <w:rPr>
          <w:szCs w:val="24"/>
          <w:lang w:val="fr-FR"/>
        </w:rPr>
        <w:t>une décision de la</w:t>
      </w:r>
      <w:r w:rsidR="001C55F2" w:rsidRPr="00DE4A9F">
        <w:rPr>
          <w:szCs w:val="24"/>
          <w:lang w:val="fr-FR"/>
        </w:rPr>
        <w:t xml:space="preserve"> juge </w:t>
      </w:r>
      <w:r w:rsidR="001C55F2" w:rsidRPr="00DE4A9F">
        <w:rPr>
          <w:szCs w:val="24"/>
          <w:lang w:val="fr-CA"/>
        </w:rPr>
        <w:t>Narang, 2021 QCCS 4977</w:t>
      </w:r>
      <w:r w:rsidR="00D21EC0" w:rsidRPr="00DE4A9F">
        <w:rPr>
          <w:szCs w:val="24"/>
          <w:lang w:val="fr-CA"/>
        </w:rPr>
        <w:t>, [2021] AZ-51813307</w:t>
      </w:r>
      <w:r w:rsidR="001C55F2" w:rsidRPr="00DE4A9F">
        <w:rPr>
          <w:szCs w:val="24"/>
          <w:lang w:val="fr-CA"/>
        </w:rPr>
        <w:t>, [2021] Q.J. No.</w:t>
      </w:r>
      <w:r w:rsidR="002A72E5" w:rsidRPr="00DE4A9F">
        <w:rPr>
          <w:szCs w:val="24"/>
          <w:lang w:val="fr-CA"/>
        </w:rPr>
        <w:t xml:space="preserve"> </w:t>
      </w:r>
      <w:r w:rsidR="001C55F2" w:rsidRPr="00DE4A9F">
        <w:rPr>
          <w:szCs w:val="24"/>
          <w:lang w:val="fr-CA"/>
        </w:rPr>
        <w:t xml:space="preserve">28996 (Lexis), 2021 CarswellQue 18947 (WL). Pourvoi </w:t>
      </w:r>
      <w:r w:rsidR="0055776B" w:rsidRPr="00DE4A9F">
        <w:rPr>
          <w:szCs w:val="24"/>
          <w:lang w:val="fr-CA"/>
        </w:rPr>
        <w:t>rejeté</w:t>
      </w:r>
      <w:r w:rsidR="001C55F2" w:rsidRPr="00DE4A9F">
        <w:rPr>
          <w:szCs w:val="24"/>
          <w:lang w:val="fr-CA"/>
        </w:rPr>
        <w:t>.</w:t>
      </w:r>
    </w:p>
    <w:p w14:paraId="088FC4AB" w14:textId="77777777" w:rsidR="00B51476" w:rsidRPr="00DE4A9F" w:rsidRDefault="002937CE" w:rsidP="00C870CA">
      <w:pPr>
        <w:pStyle w:val="SCCNormalDoubleSpacing"/>
        <w:spacing w:after="480"/>
        <w:rPr>
          <w:szCs w:val="24"/>
          <w:lang w:val="fr-FR"/>
        </w:rPr>
      </w:pPr>
      <w:r w:rsidRPr="00DE4A9F">
        <w:rPr>
          <w:rStyle w:val="SCCCounselNameChar"/>
          <w:szCs w:val="24"/>
          <w:lang w:val="fr-FR"/>
        </w:rPr>
        <w:tab/>
        <w:t>Molly Krishtalka</w:t>
      </w:r>
      <w:r w:rsidRPr="00DE4A9F">
        <w:rPr>
          <w:rStyle w:val="SCCCounselSeparatorChar"/>
          <w:szCs w:val="24"/>
          <w:lang w:val="fr-FR"/>
        </w:rPr>
        <w:t xml:space="preserve"> et </w:t>
      </w:r>
      <w:r w:rsidRPr="00DE4A9F">
        <w:rPr>
          <w:rStyle w:val="SCCCounselNameChar"/>
          <w:szCs w:val="24"/>
          <w:lang w:val="fr-FR"/>
        </w:rPr>
        <w:t>William Colish</w:t>
      </w:r>
      <w:r w:rsidRPr="00DE4A9F">
        <w:rPr>
          <w:rStyle w:val="SCCCounselPartyRoleChar"/>
          <w:szCs w:val="24"/>
          <w:lang w:val="fr-FR"/>
        </w:rPr>
        <w:t>, pour l</w:t>
      </w:r>
      <w:r w:rsidR="007A4228" w:rsidRPr="00DE4A9F">
        <w:rPr>
          <w:rStyle w:val="SCCCounselPartyRoleChar"/>
          <w:szCs w:val="24"/>
          <w:lang w:val="fr-FR"/>
        </w:rPr>
        <w:t>’</w:t>
      </w:r>
      <w:r w:rsidRPr="00DE4A9F">
        <w:rPr>
          <w:rStyle w:val="SCCCounselPartyRoleChar"/>
          <w:szCs w:val="24"/>
          <w:lang w:val="fr-FR"/>
        </w:rPr>
        <w:t>appelante.</w:t>
      </w:r>
    </w:p>
    <w:p w14:paraId="4249FAFE" w14:textId="77777777" w:rsidR="00B51476" w:rsidRPr="00DE4A9F" w:rsidRDefault="002937CE" w:rsidP="00C870CA">
      <w:pPr>
        <w:pStyle w:val="SCCNormalDoubleSpacing"/>
        <w:spacing w:after="480"/>
        <w:rPr>
          <w:szCs w:val="24"/>
          <w:lang w:val="fr-FR"/>
        </w:rPr>
      </w:pPr>
      <w:r w:rsidRPr="00DE4A9F">
        <w:rPr>
          <w:rStyle w:val="SCCCounselNameChar"/>
          <w:szCs w:val="24"/>
          <w:lang w:val="fr-FR"/>
        </w:rPr>
        <w:tab/>
      </w:r>
      <w:r w:rsidR="000479E7" w:rsidRPr="00DE4A9F">
        <w:rPr>
          <w:rStyle w:val="SCCCounselNameChar"/>
          <w:szCs w:val="24"/>
          <w:lang w:val="fr-FR"/>
        </w:rPr>
        <w:t>Pascale Caron</w:t>
      </w:r>
      <w:r w:rsidR="000479E7" w:rsidRPr="00DE4A9F">
        <w:rPr>
          <w:rStyle w:val="SCCCounselNameChar"/>
          <w:i w:val="0"/>
          <w:szCs w:val="24"/>
          <w:lang w:val="fr-FR"/>
        </w:rPr>
        <w:t>,</w:t>
      </w:r>
      <w:r w:rsidR="000479E7" w:rsidRPr="00DE4A9F">
        <w:rPr>
          <w:rStyle w:val="SCCCounselSeparatorChar"/>
          <w:szCs w:val="24"/>
          <w:lang w:val="fr-FR"/>
        </w:rPr>
        <w:t xml:space="preserve"> </w:t>
      </w:r>
      <w:r w:rsidR="000479E7" w:rsidRPr="00DE4A9F">
        <w:rPr>
          <w:rStyle w:val="SCCCounselNameChar"/>
          <w:szCs w:val="24"/>
          <w:lang w:val="fr-FR"/>
        </w:rPr>
        <w:t xml:space="preserve">Kim Tourigny </w:t>
      </w:r>
      <w:r w:rsidR="000479E7" w:rsidRPr="00DE4A9F">
        <w:rPr>
          <w:rStyle w:val="SCCCounselSeparatorChar"/>
          <w:szCs w:val="24"/>
          <w:lang w:val="fr-FR"/>
        </w:rPr>
        <w:t xml:space="preserve">et </w:t>
      </w:r>
      <w:r w:rsidRPr="00DE4A9F">
        <w:rPr>
          <w:rStyle w:val="SCCCounselNameChar"/>
          <w:szCs w:val="24"/>
          <w:lang w:val="fr-FR"/>
        </w:rPr>
        <w:t>René Vallerand</w:t>
      </w:r>
      <w:r w:rsidRPr="00DE4A9F">
        <w:rPr>
          <w:rStyle w:val="SCCCounselPartyRoleChar"/>
          <w:szCs w:val="24"/>
          <w:lang w:val="fr-FR"/>
        </w:rPr>
        <w:t>, pour l</w:t>
      </w:r>
      <w:r w:rsidR="007A4228" w:rsidRPr="00DE4A9F">
        <w:rPr>
          <w:rStyle w:val="SCCCounselPartyRoleChar"/>
          <w:szCs w:val="24"/>
          <w:lang w:val="fr-FR"/>
        </w:rPr>
        <w:t>’</w:t>
      </w:r>
      <w:r w:rsidRPr="00DE4A9F">
        <w:rPr>
          <w:rStyle w:val="SCCCounselPartyRoleChar"/>
          <w:szCs w:val="24"/>
          <w:lang w:val="fr-FR"/>
        </w:rPr>
        <w:t>intimé</w:t>
      </w:r>
      <w:r w:rsidR="00D354DD" w:rsidRPr="00DE4A9F">
        <w:rPr>
          <w:rStyle w:val="SCCCounselPartyRoleChar"/>
          <w:szCs w:val="24"/>
          <w:lang w:val="fr-FR"/>
        </w:rPr>
        <w:t>e</w:t>
      </w:r>
      <w:r w:rsidRPr="00DE4A9F">
        <w:rPr>
          <w:rStyle w:val="SCCCounselPartyRoleChar"/>
          <w:szCs w:val="24"/>
          <w:lang w:val="fr-FR"/>
        </w:rPr>
        <w:t>.</w:t>
      </w:r>
    </w:p>
    <w:p w14:paraId="27D1E82E" w14:textId="77777777" w:rsidR="00DE4A9F" w:rsidRPr="00DE4A9F" w:rsidRDefault="00DE4A9F" w:rsidP="00DE4A9F">
      <w:pPr>
        <w:tabs>
          <w:tab w:val="left" w:pos="1134"/>
        </w:tabs>
        <w:spacing w:after="480" w:line="480" w:lineRule="auto"/>
        <w:ind w:firstLine="12"/>
        <w:jc w:val="both"/>
        <w:rPr>
          <w:lang w:val="fr-CA"/>
        </w:rPr>
      </w:pPr>
      <w:r w:rsidRPr="00DE4A9F">
        <w:rPr>
          <w:lang w:val="fr-CA"/>
        </w:rPr>
        <w:tab/>
        <w:t>Le jugement de la Cour a été rendu par</w:t>
      </w:r>
    </w:p>
    <w:p w14:paraId="3FA32C8D" w14:textId="77777777" w:rsidR="00DE4A9F" w:rsidRPr="00DE4A9F" w:rsidRDefault="00DE4A9F" w:rsidP="00820F07">
      <w:pPr>
        <w:pStyle w:val="JudgeJuge"/>
        <w:tabs>
          <w:tab w:val="clear" w:pos="1166"/>
          <w:tab w:val="left" w:pos="1134"/>
        </w:tabs>
      </w:pPr>
      <w:r w:rsidRPr="00DE4A9F">
        <w:tab/>
        <w:t xml:space="preserve">Le juge en chef — </w:t>
      </w:r>
    </w:p>
    <w:p w14:paraId="71F0F87C" w14:textId="77777777" w:rsidR="00DE4A9F" w:rsidRPr="00DE4A9F" w:rsidRDefault="00DE4A9F" w:rsidP="00DE4A9F">
      <w:pPr>
        <w:pStyle w:val="Title1LevelTitre1Niveau-AltL"/>
        <w:numPr>
          <w:ilvl w:val="0"/>
          <w:numId w:val="8"/>
        </w:numPr>
        <w:rPr>
          <w:rFonts w:cs="Times New Roman"/>
        </w:rPr>
      </w:pPr>
      <w:r w:rsidRPr="00DE4A9F">
        <w:rPr>
          <w:rFonts w:cs="Times New Roman"/>
          <w:lang w:val="fr-CA"/>
        </w:rPr>
        <w:lastRenderedPageBreak/>
        <w:t xml:space="preserve">Aperçu </w:t>
      </w:r>
    </w:p>
    <w:p w14:paraId="44799007" w14:textId="77777777" w:rsidR="00DE4A9F" w:rsidRPr="00DE4A9F" w:rsidRDefault="00DE4A9F" w:rsidP="00DE4A9F">
      <w:pPr>
        <w:pStyle w:val="ParaNoNdepar-AltN"/>
        <w:rPr>
          <w:rFonts w:cs="Times New Roman"/>
        </w:rPr>
      </w:pPr>
      <w:bookmarkStart w:id="5" w:name="_Hlk225511524"/>
      <w:r w:rsidRPr="00DE4A9F">
        <w:rPr>
          <w:rFonts w:cs="Times New Roman"/>
        </w:rPr>
        <w:t xml:space="preserve">En droit civil québécois, les proches d’une personne portée disparue ne sont pas obligés de subir indéfiniment les inconvénients liés à l’incertitude qui pèse sur son existence actuelle. Depuis la réforme du </w:t>
      </w:r>
      <w:r w:rsidRPr="00DE4A9F">
        <w:rPr>
          <w:rFonts w:cs="Times New Roman"/>
          <w:i/>
        </w:rPr>
        <w:t xml:space="preserve">Code civil du Québec </w:t>
      </w:r>
      <w:r w:rsidRPr="00DE4A9F">
        <w:rPr>
          <w:rFonts w:cs="Times New Roman"/>
        </w:rPr>
        <w:t>(« </w:t>
      </w:r>
      <w:r w:rsidRPr="00DE4A9F">
        <w:rPr>
          <w:rFonts w:cs="Times New Roman"/>
          <w:i/>
        </w:rPr>
        <w:t>C.c.Q.</w:t>
      </w:r>
      <w:r w:rsidRPr="00DE4A9F">
        <w:rPr>
          <w:rFonts w:cs="Times New Roman"/>
        </w:rPr>
        <w:t xml:space="preserve"> »), toute personne intéressée peut s’adresser à un tribunal pour obtenir, après sept années continues d’absence, le prononcé d’un jugement déclaratif du décès de l’absent. Ce jugement produit les mêmes effets que le décès : il éteint la personnalité juridique, dissout les liens et les régimes matrimoniaux et permet l’ouverture de la succession et du droit au partage du patrimoine d’union parentale. Le jugement lève ainsi le voile paralysant de l’incertitude et permet à la vie de reprendre son cours. Cependant, le jugement déclaratif de décès étant une fiction, il doit toujours céder devant la preuve de l’existence actuelle de la personne disparue. Le </w:t>
      </w:r>
      <w:r w:rsidRPr="00DE4A9F">
        <w:rPr>
          <w:rFonts w:cs="Times New Roman"/>
          <w:i/>
        </w:rPr>
        <w:t>Code civil du Québec</w:t>
      </w:r>
      <w:r w:rsidRPr="00DE4A9F">
        <w:rPr>
          <w:rFonts w:cs="Times New Roman"/>
        </w:rPr>
        <w:t xml:space="preserve"> prévoit, dans la section intitulée « Du retour », les conséquences de la réapparition d’un tel « mort-vivant » dans les cas plutôt rares où la personne dont on n’a pas eu de nouvelles depuis plusieurs années refait surface. </w:t>
      </w:r>
    </w:p>
    <w:bookmarkEnd w:id="5"/>
    <w:p w14:paraId="06973470" w14:textId="77777777" w:rsidR="00DE4A9F" w:rsidRPr="00DE4A9F" w:rsidRDefault="00DE4A9F" w:rsidP="00DE4A9F">
      <w:pPr>
        <w:pStyle w:val="ParaNoNdepar-AltN"/>
        <w:rPr>
          <w:rFonts w:cs="Times New Roman"/>
        </w:rPr>
      </w:pPr>
      <w:r w:rsidRPr="00DE4A9F">
        <w:rPr>
          <w:rFonts w:cs="Times New Roman"/>
        </w:rPr>
        <w:t xml:space="preserve">Se pose toutefois la question de savoir ce qu’on entend par le « retour » de la personne déclarée décédée, et quel est le degré de preuve requis pour l’établir. Doit-on exiger le retour physique de cette personne à son domicile, ou simplement la preuve de son existence actuelle, particulièrement dans le cas où elle tente manifestement de se faire oublier? </w:t>
      </w:r>
    </w:p>
    <w:p w14:paraId="71C362A2" w14:textId="77777777" w:rsidR="00DE4A9F" w:rsidRPr="00DE4A9F" w:rsidRDefault="00DE4A9F" w:rsidP="00DE4A9F">
      <w:pPr>
        <w:pStyle w:val="ParaNoNdepar-AltN"/>
        <w:rPr>
          <w:rFonts w:cs="Times New Roman"/>
        </w:rPr>
      </w:pPr>
      <w:r w:rsidRPr="00DE4A9F">
        <w:rPr>
          <w:rFonts w:cs="Times New Roman"/>
        </w:rPr>
        <w:lastRenderedPageBreak/>
        <w:t xml:space="preserve">Il s’agit de l’une des questions soulevées par la présente affaire qui découle d’une disparition aux allures énigmatiques. </w:t>
      </w:r>
    </w:p>
    <w:p w14:paraId="6FABD8A9" w14:textId="77777777" w:rsidR="00DE4A9F" w:rsidRPr="00DE4A9F" w:rsidRDefault="00DE4A9F" w:rsidP="00DE4A9F">
      <w:pPr>
        <w:pStyle w:val="ParaNoNdepar-AltN"/>
        <w:rPr>
          <w:rFonts w:cs="Times New Roman"/>
        </w:rPr>
      </w:pPr>
      <w:r w:rsidRPr="00DE4A9F">
        <w:rPr>
          <w:rFonts w:cs="Times New Roman"/>
        </w:rPr>
        <w:t>Un bon matin, M. Hooshang Imanpoorsaid informe sa conjointe M</w:t>
      </w:r>
      <w:r w:rsidRPr="00DE4A9F">
        <w:rPr>
          <w:rFonts w:cs="Times New Roman"/>
          <w:vertAlign w:val="superscript"/>
        </w:rPr>
        <w:t>me</w:t>
      </w:r>
      <w:r w:rsidRPr="00DE4A9F">
        <w:rPr>
          <w:rFonts w:cs="Times New Roman"/>
        </w:rPr>
        <w:t xml:space="preserve"> Deborah Carol Riddle qu’il doit se rendre à Toronto pour affaires. Au volant de sa voiture, il quitte la banlieue de Montréal où il réside, muni de quelques bagages. Rien de plus usuel pour ce représentant en assurance et en épargne collective qui se déplace souvent pour le travail. Or, M. Imanpoorsaid ne revient pas. Une enquête policière révèle qu’il ne s’est jamais rendu à Toronto. Il a disparu, et il n’a plus jamais été revu par sa famille. </w:t>
      </w:r>
    </w:p>
    <w:p w14:paraId="2EA3B652" w14:textId="77777777" w:rsidR="00DE4A9F" w:rsidRPr="00DE4A9F" w:rsidRDefault="00DE4A9F" w:rsidP="00DE4A9F">
      <w:pPr>
        <w:pStyle w:val="ParaNoNdepar-AltN"/>
        <w:rPr>
          <w:rFonts w:cs="Times New Roman"/>
        </w:rPr>
      </w:pPr>
      <w:r w:rsidRPr="00DE4A9F">
        <w:rPr>
          <w:rFonts w:cs="Times New Roman"/>
        </w:rPr>
        <w:t>Après qu’il eut été absent pendant huit ans, M</w:t>
      </w:r>
      <w:r w:rsidRPr="00DE4A9F">
        <w:rPr>
          <w:rFonts w:cs="Times New Roman"/>
          <w:vertAlign w:val="superscript"/>
        </w:rPr>
        <w:t>me</w:t>
      </w:r>
      <w:r w:rsidRPr="00DE4A9F">
        <w:rPr>
          <w:rFonts w:cs="Times New Roman"/>
        </w:rPr>
        <w:t xml:space="preserve"> Riddle s’adresse à la Cour supérieure pour obtenir un jugement déclaratif de décès visant son mari, conformément aux dispositions du </w:t>
      </w:r>
      <w:r w:rsidRPr="00DE4A9F">
        <w:rPr>
          <w:rFonts w:cs="Times New Roman"/>
          <w:i/>
        </w:rPr>
        <w:t>Code civil du Québec</w:t>
      </w:r>
      <w:r w:rsidRPr="00DE4A9F">
        <w:rPr>
          <w:rFonts w:cs="Times New Roman"/>
        </w:rPr>
        <w:t xml:space="preserve"> relatives au régime de l’absence. La compagnie d’assurance, ivari, auprès de laquelle M. Imanpoorsaid avait souscrit une assurance sur sa vie, s’oppose au prononcé du jugement déclaratif de décès. Elle soutient que les circonstances entourant la disparition de M. Imanpoorsaid tendent plutôt à indiquer que ce dernier aurait pris la fuite. Le juge Poirier, saisi de la demande de M</w:t>
      </w:r>
      <w:r w:rsidRPr="00DE4A9F">
        <w:rPr>
          <w:rFonts w:cs="Times New Roman"/>
          <w:vertAlign w:val="superscript"/>
        </w:rPr>
        <w:t>me</w:t>
      </w:r>
      <w:r w:rsidRPr="00DE4A9F">
        <w:rPr>
          <w:rFonts w:cs="Times New Roman"/>
        </w:rPr>
        <w:t xml:space="preserve"> Riddle, déclare cependant le décès de M. Imanpoorsaid, puisque les circonstances entourant sa disparition ne peuvent faire obstacle au prononcé d’un jugement déclaratif de décès dès lors qu’il s’est écoulé sept ans depuis que la personne disparue est absente sans donner de nouvelles. La Cour d’appel suspend l’instance d’appel de la décision du juge Poirier et déclare éventuellement l’appel sans objet.</w:t>
      </w:r>
    </w:p>
    <w:p w14:paraId="5996230E" w14:textId="77777777" w:rsidR="00DE4A9F" w:rsidRPr="00DE4A9F" w:rsidRDefault="00DE4A9F" w:rsidP="00DE4A9F">
      <w:pPr>
        <w:pStyle w:val="ParaNoNdepar-AltN"/>
        <w:rPr>
          <w:rFonts w:cs="Times New Roman"/>
        </w:rPr>
      </w:pPr>
      <w:r w:rsidRPr="00DE4A9F">
        <w:rPr>
          <w:rFonts w:cs="Times New Roman"/>
        </w:rPr>
        <w:lastRenderedPageBreak/>
        <w:t>Entre-temps, ivari saisit la Cour supérieure d’une demande d’annulation du jugement déclarant le décès de M. Imanpoorsaid. Cette procédure n’est toutefois pas signifiée à ce dernier. Ivari présente de nouveaux éléments de preuve selon lesquels il se serait rendu en Iran</w:t>
      </w:r>
      <w:r w:rsidRPr="00DE4A9F">
        <w:rPr>
          <w:rFonts w:eastAsia="Times New Roman" w:cs="Times New Roman"/>
          <w:szCs w:val="20"/>
          <w:lang w:eastAsia="en-CA"/>
        </w:rPr>
        <w:t xml:space="preserve"> </w:t>
      </w:r>
      <w:r w:rsidRPr="00DE4A9F">
        <w:rPr>
          <w:rFonts w:cs="Times New Roman"/>
        </w:rPr>
        <w:t>où il résiderait toujours depuis son départ du Québec.</w:t>
      </w:r>
    </w:p>
    <w:p w14:paraId="6FCBC3EC" w14:textId="77777777" w:rsidR="00DE4A9F" w:rsidRPr="00DE4A9F" w:rsidRDefault="00DE4A9F" w:rsidP="00DE4A9F">
      <w:pPr>
        <w:pStyle w:val="ParaNoNdepar-AltN"/>
        <w:rPr>
          <w:rFonts w:cs="Times New Roman"/>
        </w:rPr>
      </w:pPr>
      <w:r w:rsidRPr="00DE4A9F">
        <w:rPr>
          <w:rFonts w:cs="Times New Roman"/>
        </w:rPr>
        <w:t>À la lumière de cette preuve, la juge de première instance annule le jugement déclaratif de décès et conclut qu’ivari a établi le « retour » de la personne déclarée décédée. Cette décision est, pour l’essentiel, confirmée par la Cour d’appel.</w:t>
      </w:r>
    </w:p>
    <w:p w14:paraId="77282DE4" w14:textId="77777777" w:rsidR="00DE4A9F" w:rsidRPr="00DE4A9F" w:rsidRDefault="00DE4A9F" w:rsidP="00DE4A9F">
      <w:pPr>
        <w:pStyle w:val="ParaNoNdepar-AltN"/>
        <w:rPr>
          <w:rFonts w:cs="Times New Roman"/>
        </w:rPr>
      </w:pPr>
      <w:r w:rsidRPr="00DE4A9F">
        <w:rPr>
          <w:rFonts w:cs="Times New Roman"/>
        </w:rPr>
        <w:t>Madame Riddle se pourvoit devant notre Cour. Elle soutient que la juge de première instance et la Cour d’appel ont commis deux erreurs de droit. Premièrement, M</w:t>
      </w:r>
      <w:r w:rsidRPr="00DE4A9F">
        <w:rPr>
          <w:rFonts w:cs="Times New Roman"/>
          <w:vertAlign w:val="superscript"/>
        </w:rPr>
        <w:t>me</w:t>
      </w:r>
      <w:r w:rsidRPr="00DE4A9F">
        <w:rPr>
          <w:rFonts w:cs="Times New Roman"/>
        </w:rPr>
        <w:t xml:space="preserve"> Riddle avance que les juridictions inférieures ont erré en concluant que le défaut d’ivari de signifier la procédure en annulation du jugement déclaratif de décès au principal intéressé, soit M. Imanpoorsaid, n’emportait pas le rejet de sa procédure et la nullité des décisions subséquentes. Deuxièmement, elle estime que la juge de première instance, de même que la Cour d’appel, ont fait erreur dans la détermination du cadre juridique applicable à la preuve du retour de la personne déclarée décédée. Madame Riddle prétend que l’établissement du retour d’une personne déclarée décédée nécessite la preuve incontestable, ou certaine, de son existence actuelle. </w:t>
      </w:r>
    </w:p>
    <w:p w14:paraId="5B757917" w14:textId="77777777" w:rsidR="00DE4A9F" w:rsidRPr="00DE4A9F" w:rsidRDefault="00DE4A9F" w:rsidP="00DE4A9F">
      <w:pPr>
        <w:pStyle w:val="ParaNoNdepar-AltN"/>
        <w:rPr>
          <w:rFonts w:cs="Times New Roman"/>
        </w:rPr>
      </w:pPr>
      <w:r w:rsidRPr="00DE4A9F">
        <w:rPr>
          <w:rFonts w:cs="Times New Roman"/>
        </w:rPr>
        <w:t xml:space="preserve">De son côté, ivari plaide que les juridictions inférieures ont avec raison statué que le défaut de signification ne justifiait pas le rejet de son recours et que la juge de première instance et la Cour d’appel ont correctement interprété la notion de retour, dont la preuve ne requiert pas de forme ou de degré spécifique. </w:t>
      </w:r>
    </w:p>
    <w:p w14:paraId="44B34B89" w14:textId="77777777" w:rsidR="00DE4A9F" w:rsidRPr="00DE4A9F" w:rsidRDefault="00DE4A9F" w:rsidP="00DE4A9F">
      <w:pPr>
        <w:pStyle w:val="ParaNoNdepar-AltN"/>
        <w:rPr>
          <w:rFonts w:cs="Times New Roman"/>
        </w:rPr>
      </w:pPr>
      <w:bookmarkStart w:id="6" w:name="_Hlk225511575"/>
      <w:r w:rsidRPr="00DE4A9F">
        <w:rPr>
          <w:rFonts w:cs="Times New Roman"/>
        </w:rPr>
        <w:lastRenderedPageBreak/>
        <w:t>Je suis d’avis de rejeter le présent pourvoi. En ce qui concerne le défaut de signifier la procédure à M. Imanpoorsaid, je considère qu’il s’agit d’un accroc aux principes directeurs de notre droit qui ne doit pas être banalisé. Toutefois, en l’occurrence, ce défaut n’a pas compromis l’intégrité du processus judiciaire, n’a causé préjudice à aucune partie et ne devrait pas justifier le rejet de la procédure et la nullité des décisions subséquentes. Pour ce qui est de la détermination du cadre juridique applicable à la preuve du retour d’une personne déclarée décédée, la juge de première instance, tout comme la Cour d’appel, n’a commis aucune erreur en concluant que cette preuve pouvait résulter de toute manifestation contemporaine qui rend plus probable qu’improbable l’existence actuelle de la personne disparue. Cette preuve doit être claire et convaincante, de nature à réfuter la présomption de décès, mais aucun seuil particulier de certitude n’est requis. Même si la présence physique de la personne déclarée décédée constituera toujours la meilleure preuve de son existence actuelle, un juge peut se satisfaire d’éléments de preuve établissant qu’elle vit encore, particulièrement lorsque les circonstances suggèrent une disparition ou une réclusion volontaire. La preuve du retour n’exige donc pas une norme de preuve différente. En droit civil québécois, à moins d’indication contraire du législateur, la norme de preuve demeure la prépondérance des probabilités.</w:t>
      </w:r>
    </w:p>
    <w:bookmarkEnd w:id="6"/>
    <w:p w14:paraId="2D659AFE" w14:textId="77777777" w:rsidR="00DE4A9F" w:rsidRPr="00DE4A9F" w:rsidRDefault="00DE4A9F" w:rsidP="00DE4A9F">
      <w:pPr>
        <w:pStyle w:val="Title1LevelTitre1Niveau-AltL"/>
        <w:numPr>
          <w:ilvl w:val="0"/>
          <w:numId w:val="8"/>
        </w:numPr>
        <w:rPr>
          <w:rFonts w:cs="Times New Roman"/>
        </w:rPr>
      </w:pPr>
      <w:r w:rsidRPr="00DE4A9F">
        <w:rPr>
          <w:rFonts w:cs="Times New Roman"/>
        </w:rPr>
        <w:t>Contexte</w:t>
      </w:r>
    </w:p>
    <w:p w14:paraId="2DF7BC0B" w14:textId="77777777" w:rsidR="00DE4A9F" w:rsidRPr="00DE4A9F" w:rsidRDefault="00DE4A9F" w:rsidP="00DE4A9F">
      <w:pPr>
        <w:pStyle w:val="Title2LevelTitre2Niveau"/>
        <w:numPr>
          <w:ilvl w:val="1"/>
          <w:numId w:val="8"/>
        </w:numPr>
        <w:rPr>
          <w:rFonts w:cs="Times New Roman"/>
        </w:rPr>
      </w:pPr>
      <w:r w:rsidRPr="00DE4A9F">
        <w:rPr>
          <w:rFonts w:cs="Times New Roman"/>
        </w:rPr>
        <w:t>Faits</w:t>
      </w:r>
    </w:p>
    <w:p w14:paraId="13F5CD90" w14:textId="77777777" w:rsidR="00DE4A9F" w:rsidRPr="00DE4A9F" w:rsidRDefault="00DE4A9F" w:rsidP="00DE4A9F">
      <w:pPr>
        <w:pStyle w:val="ParaNoNdepar-AltN"/>
        <w:rPr>
          <w:rFonts w:cs="Times New Roman"/>
        </w:rPr>
      </w:pPr>
      <w:r w:rsidRPr="00DE4A9F">
        <w:rPr>
          <w:rFonts w:cs="Times New Roman"/>
          <w:shd w:val="clear" w:color="auto" w:fill="FFFFFF"/>
        </w:rPr>
        <w:lastRenderedPageBreak/>
        <w:t>Monsieur Imanpoorsaid est représentant en assurance et en épargne collective. Originaire d’Iran, il réside à Brossard, au Québec, avec sa conjointe M</w:t>
      </w:r>
      <w:r w:rsidRPr="00DE4A9F">
        <w:rPr>
          <w:rFonts w:cs="Times New Roman"/>
          <w:shd w:val="clear" w:color="auto" w:fill="FFFFFF"/>
          <w:vertAlign w:val="superscript"/>
        </w:rPr>
        <w:t>me</w:t>
      </w:r>
      <w:r w:rsidRPr="00DE4A9F">
        <w:rPr>
          <w:rFonts w:cs="Times New Roman"/>
          <w:shd w:val="clear" w:color="auto" w:fill="FFFFFF"/>
        </w:rPr>
        <w:t xml:space="preserve"> Riddle, et le couple a trois enfants. Il voyage souvent à l’extérieur de la province dans le cadre de son travail. En 2006, il souscrit à une police d’assurance-vie auprès de l’intimée, ivari, anciennement Transamerica Life Canada. </w:t>
      </w:r>
    </w:p>
    <w:p w14:paraId="57DBBF70" w14:textId="77777777" w:rsidR="00DE4A9F" w:rsidRPr="00DE4A9F" w:rsidRDefault="00DE4A9F" w:rsidP="00DE4A9F">
      <w:pPr>
        <w:pStyle w:val="ParaNoNdepar-AltN"/>
        <w:rPr>
          <w:rFonts w:cs="Times New Roman"/>
        </w:rPr>
      </w:pPr>
      <w:r w:rsidRPr="00DE4A9F">
        <w:rPr>
          <w:rFonts w:cs="Times New Roman"/>
          <w:shd w:val="clear" w:color="auto" w:fill="FFFFFF"/>
        </w:rPr>
        <w:t xml:space="preserve">Le 17 février 2008, M. Imanpoorsaid indique aux membres de sa famille qu’il doit se rendre à Toronto pour affaires. Le lendemain, il envoie à deux de ses enfants un courriel dans lequel il affirme que </w:t>
      </w:r>
      <w:r w:rsidRPr="00DE4A9F">
        <w:rPr>
          <w:rFonts w:cs="Times New Roman"/>
        </w:rPr>
        <w:t>[</w:t>
      </w:r>
      <w:r w:rsidRPr="00DE4A9F">
        <w:rPr>
          <w:rFonts w:cs="Times New Roman"/>
          <w:smallCaps/>
        </w:rPr>
        <w:t>traduction</w:t>
      </w:r>
      <w:r w:rsidRPr="00DE4A9F">
        <w:rPr>
          <w:rFonts w:cs="Times New Roman"/>
        </w:rPr>
        <w:t>]</w:t>
      </w:r>
      <w:r w:rsidRPr="00DE4A9F">
        <w:rPr>
          <w:rFonts w:cs="Times New Roman"/>
          <w:shd w:val="clear" w:color="auto" w:fill="FFFFFF"/>
        </w:rPr>
        <w:t xml:space="preserve"> « les choses ont dégénéré et pour redresser la situation, des mesures radicales sont nécessaires » (d.a., vol. VI, p. 16; </w:t>
      </w:r>
      <w:r w:rsidRPr="00DE4A9F">
        <w:rPr>
          <w:rFonts w:cs="Times New Roman"/>
        </w:rPr>
        <w:t>2021 QCCS 4977, par. 10</w:t>
      </w:r>
      <w:r w:rsidRPr="00DE4A9F">
        <w:rPr>
          <w:rFonts w:cs="Times New Roman"/>
          <w:shd w:val="clear" w:color="auto" w:fill="FFFFFF"/>
        </w:rPr>
        <w:t>). Ce sont les dernières nouvelles qu’il donnera à ses proches. Il ne reviendra pas à Montréal et ne sera plus jamais revu par sa famille.</w:t>
      </w:r>
    </w:p>
    <w:p w14:paraId="244C1962" w14:textId="77777777" w:rsidR="00DE4A9F" w:rsidRPr="00DE4A9F" w:rsidRDefault="00DE4A9F" w:rsidP="00DE4A9F">
      <w:pPr>
        <w:pStyle w:val="ParaNoNdepar-AltN"/>
        <w:rPr>
          <w:rFonts w:cs="Times New Roman"/>
        </w:rPr>
      </w:pPr>
      <w:r w:rsidRPr="00DE4A9F">
        <w:rPr>
          <w:rFonts w:cs="Times New Roman"/>
        </w:rPr>
        <w:t>Les circonstances entourant sa disparition sont troublantes. Monsieur Imanpoorsaid devait beaucoup d’argent à plusieurs créanciers. Dans les années précédant sa disparition, il falsifie la signature de sa conjointe afin d’obtenir des prêts, et s’approprie frauduleusement des fonds du compte de régime enregistré d’épargne‐retraite de cette dernière ainsi que de leur compte conjoint. Il détourne également plusieurs centaines de milliers de dollars appartenant à des clients. Durant son absence en 2011, il est déclaré coupable d’appropriation de fonds et de conflits d’intérêts par le comité de discipline de la Chambre de la sécurité financière, et il est radié de manière permanente. Quelque temps avant sa disparition, M. Imanpoorsaid vend sa clientèle à M</w:t>
      </w:r>
      <w:r w:rsidRPr="00DE4A9F">
        <w:rPr>
          <w:rFonts w:cs="Times New Roman"/>
          <w:vertAlign w:val="superscript"/>
        </w:rPr>
        <w:t>me</w:t>
      </w:r>
      <w:r w:rsidRPr="00DE4A9F">
        <w:rPr>
          <w:rFonts w:cs="Times New Roman"/>
        </w:rPr>
        <w:t xml:space="preserve"> Riddle et modifie la désignation de sa police d’assurance-vie afin de faire de sa </w:t>
      </w:r>
      <w:r w:rsidRPr="00DE4A9F">
        <w:rPr>
          <w:rFonts w:cs="Times New Roman"/>
        </w:rPr>
        <w:lastRenderedPageBreak/>
        <w:t xml:space="preserve">conjointe l’unique bénéficiaire principale. Ses enfants ne signalent sa disparition aux autorités que plusieurs mois plus tard. </w:t>
      </w:r>
    </w:p>
    <w:p w14:paraId="16769B72" w14:textId="77777777" w:rsidR="00DE4A9F" w:rsidRPr="00DE4A9F" w:rsidRDefault="00DE4A9F" w:rsidP="00DE4A9F">
      <w:pPr>
        <w:pStyle w:val="ParaNoNdepar-AltN"/>
        <w:rPr>
          <w:rFonts w:cs="Times New Roman"/>
        </w:rPr>
      </w:pPr>
      <w:r w:rsidRPr="00DE4A9F">
        <w:rPr>
          <w:rFonts w:cs="Times New Roman"/>
        </w:rPr>
        <w:t>En 2016, après huit ans d’absence, M</w:t>
      </w:r>
      <w:r w:rsidRPr="00DE4A9F">
        <w:rPr>
          <w:rFonts w:cs="Times New Roman"/>
          <w:vertAlign w:val="superscript"/>
        </w:rPr>
        <w:t>me</w:t>
      </w:r>
      <w:r w:rsidRPr="00DE4A9F">
        <w:rPr>
          <w:rFonts w:cs="Times New Roman"/>
        </w:rPr>
        <w:t xml:space="preserve"> Riddle s’adresse aux tribunaux afin d’obtenir un jugement déclarant le décès de M. Imanpoorsaid en vertu de l’art. 92 al. 1 </w:t>
      </w:r>
      <w:r w:rsidRPr="00DE4A9F">
        <w:rPr>
          <w:rFonts w:cs="Times New Roman"/>
          <w:i/>
        </w:rPr>
        <w:t>C.c.Q.</w:t>
      </w:r>
      <w:r w:rsidRPr="00DE4A9F">
        <w:rPr>
          <w:rFonts w:cs="Times New Roman"/>
        </w:rPr>
        <w:t xml:space="preserve"> Prévoyant devoir verser la somme assurée de 550 000 $ de la police d’assurance-vie, ivari s’oppose à ce qu’un jugement déclaratif de décès soit prononcé. Elle estime que les circonstances louches entourant sa disparition laissent croire qu’il aurait plutôt tenté de fuir ses créanciers.</w:t>
      </w:r>
    </w:p>
    <w:p w14:paraId="5F362BE5" w14:textId="77777777" w:rsidR="00DE4A9F" w:rsidRPr="00DE4A9F" w:rsidRDefault="00DE4A9F" w:rsidP="00DE4A9F">
      <w:pPr>
        <w:pStyle w:val="ParaNoNdepar-AltN"/>
        <w:rPr>
          <w:rFonts w:cs="Times New Roman"/>
        </w:rPr>
      </w:pPr>
      <w:r w:rsidRPr="00DE4A9F">
        <w:rPr>
          <w:rFonts w:cs="Times New Roman"/>
        </w:rPr>
        <w:t>En dépit de ces contestations, le juge Poirier de la Cour supérieure accueille la demande de M</w:t>
      </w:r>
      <w:r w:rsidRPr="00DE4A9F">
        <w:rPr>
          <w:rFonts w:cs="Times New Roman"/>
          <w:vertAlign w:val="superscript"/>
        </w:rPr>
        <w:t>me</w:t>
      </w:r>
      <w:r w:rsidRPr="00DE4A9F">
        <w:rPr>
          <w:rFonts w:cs="Times New Roman"/>
        </w:rPr>
        <w:t xml:space="preserve"> Riddle et déclare que M. Imanpoorsaid est décédé le 20 février 2015, soit sept ans après sa disparition (2017 QCCS 6433). Le juge Poirier conclut que les circonstances louches entourant le départ de M. Imanpoorsaid qui auraient pu faire obstacle à la déclaration de décès avant l’expiration de la période de sept ans ne pouvaient plus le faire une fois cette période écoulée. La réunion des conditions nécessaires au prononcé d’un jugement déclaratif de décès suffit, à savoir l’absence d’une personne de son domicile depuis plus de sept ans et l’absence de nouvelles données par celle-ci, et ce, quelles que soient les circonstances qui entourent la disparition. </w:t>
      </w:r>
    </w:p>
    <w:p w14:paraId="3C3ED4F8" w14:textId="77777777" w:rsidR="00DE4A9F" w:rsidRPr="00DE4A9F" w:rsidRDefault="00DE4A9F" w:rsidP="00DE4A9F">
      <w:pPr>
        <w:pStyle w:val="ParaNoNdepar-AltN"/>
        <w:rPr>
          <w:rFonts w:cs="Times New Roman"/>
        </w:rPr>
      </w:pPr>
      <w:r w:rsidRPr="00DE4A9F">
        <w:rPr>
          <w:rFonts w:cs="Times New Roman"/>
        </w:rPr>
        <w:t xml:space="preserve">Ivari fait appel de cette décision et dépose, plus tard, une requête sollicitant l’autorisation de présenter une preuve nouvelle indispensable. Forte de nouveaux </w:t>
      </w:r>
      <w:r w:rsidRPr="00DE4A9F">
        <w:rPr>
          <w:rFonts w:cs="Times New Roman"/>
        </w:rPr>
        <w:lastRenderedPageBreak/>
        <w:t xml:space="preserve">éléments de preuve, elle prétend avoir retrouvé M. Imanpoorsaid. Celui-ci ne serait pas décédé, mais se serait plutôt enfui en Iran, où il résiderait toujours. </w:t>
      </w:r>
    </w:p>
    <w:p w14:paraId="517D13B2" w14:textId="77777777" w:rsidR="00DE4A9F" w:rsidRPr="00DE4A9F" w:rsidRDefault="00DE4A9F" w:rsidP="00DE4A9F">
      <w:pPr>
        <w:pStyle w:val="ParaNoNdepar-AltN"/>
        <w:rPr>
          <w:rFonts w:cs="Times New Roman"/>
        </w:rPr>
      </w:pPr>
      <w:bookmarkStart w:id="7" w:name="_Hlk225772553"/>
      <w:r w:rsidRPr="00DE4A9F">
        <w:rPr>
          <w:rFonts w:cs="Times New Roman"/>
        </w:rPr>
        <w:t xml:space="preserve">Le 12 juillet 2018, la Cour d’appel rejette la requête en dépôt d’une preuve nouvelle d’ivari, et l’invite plutôt à s’adresser à la Cour supérieure pour demander l’annulation du jugement déclaratif de décès en vertu de l’art. 98 </w:t>
      </w:r>
      <w:r w:rsidRPr="00DE4A9F">
        <w:rPr>
          <w:rFonts w:cs="Times New Roman"/>
          <w:i/>
        </w:rPr>
        <w:t>C.c.Q.</w:t>
      </w:r>
      <w:r w:rsidRPr="00DE4A9F">
        <w:rPr>
          <w:rFonts w:cs="Times New Roman"/>
        </w:rPr>
        <w:t xml:space="preserve"> (2018 QCCA 1221).</w:t>
      </w:r>
      <w:r w:rsidRPr="00DE4A9F">
        <w:rPr>
          <w:rFonts w:eastAsia="Times New Roman" w:cs="Times New Roman"/>
          <w:szCs w:val="24"/>
          <w:lang w:eastAsia="en-CA"/>
        </w:rPr>
        <w:t xml:space="preserve"> </w:t>
      </w:r>
      <w:r w:rsidRPr="00DE4A9F">
        <w:rPr>
          <w:rFonts w:cs="Times New Roman"/>
        </w:rPr>
        <w:t>La Cour d’appel suspend l’instance. Ivari dépose alors une demande devant la Cour supérieure en vue d’obtenir l’annulation de la décision du juge Poirier. Cette demande n’est pas signifiée à M. Imanpoorsaid.</w:t>
      </w:r>
    </w:p>
    <w:bookmarkEnd w:id="7"/>
    <w:p w14:paraId="46697931" w14:textId="77777777" w:rsidR="00DE4A9F" w:rsidRPr="00DE4A9F" w:rsidRDefault="00DE4A9F" w:rsidP="00DE4A9F">
      <w:pPr>
        <w:pStyle w:val="Title2LevelTitre2Niveau"/>
        <w:numPr>
          <w:ilvl w:val="1"/>
          <w:numId w:val="8"/>
        </w:numPr>
        <w:rPr>
          <w:rFonts w:cs="Times New Roman"/>
          <w:lang w:val="fr-CA"/>
        </w:rPr>
      </w:pPr>
      <w:r w:rsidRPr="00DE4A9F">
        <w:rPr>
          <w:rFonts w:cs="Times New Roman"/>
          <w:lang w:val="fr-CA"/>
        </w:rPr>
        <w:t xml:space="preserve">Décisions des juridictions inférieures </w:t>
      </w:r>
    </w:p>
    <w:p w14:paraId="575B2B5C" w14:textId="77777777" w:rsidR="00DE4A9F" w:rsidRPr="00DE4A9F" w:rsidRDefault="00DE4A9F" w:rsidP="00DE4A9F">
      <w:pPr>
        <w:pStyle w:val="Title3LevelTitre3Niveau"/>
        <w:numPr>
          <w:ilvl w:val="2"/>
          <w:numId w:val="8"/>
        </w:numPr>
        <w:rPr>
          <w:rFonts w:cs="Times New Roman"/>
          <w:lang w:val="fr-CA"/>
        </w:rPr>
      </w:pPr>
      <w:r w:rsidRPr="00DE4A9F">
        <w:rPr>
          <w:rFonts w:cs="Times New Roman"/>
          <w:lang w:val="fr-CA"/>
        </w:rPr>
        <w:t>Cour supérieure du Québec, 2021 QCCS 4977 (la juge Narang)</w:t>
      </w:r>
    </w:p>
    <w:p w14:paraId="5F9B4B1A" w14:textId="77777777" w:rsidR="00DE4A9F" w:rsidRPr="00DE4A9F" w:rsidRDefault="00DE4A9F" w:rsidP="00DE4A9F">
      <w:pPr>
        <w:pStyle w:val="ParaNoNdepar-AltN"/>
        <w:rPr>
          <w:rFonts w:cs="Times New Roman"/>
        </w:rPr>
      </w:pPr>
      <w:r w:rsidRPr="00DE4A9F">
        <w:rPr>
          <w:rFonts w:cs="Times New Roman"/>
        </w:rPr>
        <w:t xml:space="preserve">La juge de première instance annule le jugement déclaratif de décès. Elle conclut, au vu des éléments de preuve déposés par ivari et selon la prépondérance des probabilités, que M. Imanpoorsaid est toujours en vie. La juge souligne que la présomption de décès étant une présomption de fait, elle n’est pas irréfragable et peut toujours être renversée par le retour de l’absent. Elle distingue ainsi les « jugements traditionnels » du jugement déclaratif. Ce dernier dispose d’un mécanisme de révision spécifique et peut toujours être modifié en vertu de l’art. 322 du </w:t>
      </w:r>
      <w:r w:rsidRPr="00DE4A9F">
        <w:rPr>
          <w:rFonts w:cs="Times New Roman"/>
          <w:i/>
        </w:rPr>
        <w:t>Code de procédure civile</w:t>
      </w:r>
      <w:r w:rsidRPr="00DE4A9F">
        <w:rPr>
          <w:rFonts w:cs="Times New Roman"/>
        </w:rPr>
        <w:t>, RLRQ, c. C-25.01 (« </w:t>
      </w:r>
      <w:r w:rsidRPr="00DE4A9F">
        <w:rPr>
          <w:rFonts w:cs="Times New Roman"/>
          <w:i/>
        </w:rPr>
        <w:t>C.p.c.</w:t>
      </w:r>
      <w:r w:rsidRPr="00DE4A9F">
        <w:rPr>
          <w:rFonts w:cs="Times New Roman"/>
        </w:rPr>
        <w:t> »), sur la base de « faits nouveaux s’ils sont suffisants ».</w:t>
      </w:r>
    </w:p>
    <w:p w14:paraId="639D06C0" w14:textId="77777777" w:rsidR="00DE4A9F" w:rsidRPr="00DE4A9F" w:rsidRDefault="00DE4A9F" w:rsidP="00DE4A9F">
      <w:pPr>
        <w:pStyle w:val="ParaNoNdepar-AltN"/>
        <w:rPr>
          <w:rFonts w:cs="Times New Roman"/>
          <w:bCs/>
        </w:rPr>
      </w:pPr>
      <w:r w:rsidRPr="00DE4A9F">
        <w:rPr>
          <w:rFonts w:cs="Times New Roman"/>
          <w:bCs/>
        </w:rPr>
        <w:lastRenderedPageBreak/>
        <w:t xml:space="preserve">La juge de première instance précise que la notion de « retour » de l’art. 98 </w:t>
      </w:r>
      <w:r w:rsidRPr="00DE4A9F">
        <w:rPr>
          <w:rFonts w:cs="Times New Roman"/>
          <w:bCs/>
          <w:i/>
        </w:rPr>
        <w:t>C.c.Q.</w:t>
      </w:r>
      <w:r w:rsidRPr="00DE4A9F">
        <w:rPr>
          <w:rFonts w:cs="Times New Roman"/>
          <w:bCs/>
        </w:rPr>
        <w:t xml:space="preserve"> ne doit pas être interprétée de manière restrictive comme exigeant un retour physique de la personne déclarée décédée à l’endroit où elle a été aperçue pour la dernière fois, mais doit plutôt s’entendre de toute manifestation permettant d’établir que la personne est en vie. </w:t>
      </w:r>
    </w:p>
    <w:p w14:paraId="1A18D995" w14:textId="77777777" w:rsidR="00DE4A9F" w:rsidRPr="00DE4A9F" w:rsidRDefault="00DE4A9F" w:rsidP="00DE4A9F">
      <w:pPr>
        <w:pStyle w:val="ParaNoNdepar-AltN"/>
        <w:rPr>
          <w:rFonts w:cs="Times New Roman"/>
        </w:rPr>
      </w:pPr>
      <w:r w:rsidRPr="00DE4A9F">
        <w:rPr>
          <w:rFonts w:cs="Times New Roman"/>
        </w:rPr>
        <w:t>En l’espèce, la juge estime que trois « signes fiables » de vie permettent de conclure que M. Imanpoorsaid est toujours vivant. Premièrement, elle retient que le 7 novembre 2015, soit plus de huit mois après la date présumée du décès, l’organisme étatique chargé du recensement en Iran, appelé « State Census Organization » dans la traduction anglaise du document produit par ivari, a remis personnellement à Hooshang Imanpoorsaid une carte d’identité nationale. Les registres de cet organisme n’attestent pas le décès de celui-ci. Deuxièmement, un service policier aux passeports et à l’immigration iranien a délivré à M. Imanpoorsaid en mains propres deux passeports depuis sa disparition. Les documents fournis incluent trois photographies de ce dernier, et la juge note que M</w:t>
      </w:r>
      <w:r w:rsidRPr="00DE4A9F">
        <w:rPr>
          <w:rFonts w:cs="Times New Roman"/>
          <w:vertAlign w:val="superscript"/>
        </w:rPr>
        <w:t>me</w:t>
      </w:r>
      <w:r w:rsidRPr="00DE4A9F">
        <w:rPr>
          <w:rFonts w:cs="Times New Roman"/>
        </w:rPr>
        <w:t xml:space="preserve"> Riddle n’a pas, lors de son témoignage, affirmé qu’il ne s’agissait pas de son mari. Selon les informations fournies par cette agence gouvernementale, </w:t>
      </w:r>
      <w:r w:rsidRPr="00DE4A9F">
        <w:t xml:space="preserve">M. Imanpoorsaid </w:t>
      </w:r>
      <w:r w:rsidRPr="00DE4A9F">
        <w:rPr>
          <w:rFonts w:cs="Times New Roman"/>
        </w:rPr>
        <w:t xml:space="preserve">aurait fait une quinzaine de voyages à l’étranger entre octobre 2008 et décembre 2017. Finalement, celui-ci se serait inscrit auprès de l’organisme de bien-être social iranien en décembre 2018. </w:t>
      </w:r>
    </w:p>
    <w:p w14:paraId="465FD6D6" w14:textId="77777777" w:rsidR="00DE4A9F" w:rsidRPr="00DE4A9F" w:rsidRDefault="00DE4A9F" w:rsidP="00DE4A9F">
      <w:pPr>
        <w:pStyle w:val="ParaNoNdepar-AltN"/>
        <w:rPr>
          <w:rFonts w:cs="Times New Roman"/>
        </w:rPr>
      </w:pPr>
      <w:r w:rsidRPr="00DE4A9F">
        <w:rPr>
          <w:rFonts w:cs="Times New Roman"/>
        </w:rPr>
        <w:t>La juge de première instance rejette également l’argument de M</w:t>
      </w:r>
      <w:r w:rsidRPr="00DE4A9F">
        <w:rPr>
          <w:rFonts w:cs="Times New Roman"/>
          <w:vertAlign w:val="superscript"/>
        </w:rPr>
        <w:t>me</w:t>
      </w:r>
      <w:r w:rsidRPr="00DE4A9F">
        <w:rPr>
          <w:rFonts w:cs="Times New Roman"/>
        </w:rPr>
        <w:t xml:space="preserve"> Riddle selon lequel la demande d’ivari ne pouvait être instruite en l’absence de signification à </w:t>
      </w:r>
      <w:r w:rsidRPr="00DE4A9F">
        <w:rPr>
          <w:rFonts w:cs="Times New Roman"/>
        </w:rPr>
        <w:lastRenderedPageBreak/>
        <w:t>M. Imanpoorsaid. Elle conclut que cet argument constitue de la « procédurite », c’est-à-dire l’application tatillonne des règles de procédure menant à des résultats absurdes et contraires au bon sens. La juge est d’avis que, en tout état de cause, la présence de M. Imanpoorsaid aurait simplement été la preuve ultime qu’il était vivant et n’aurait rien changé à l’issue du recours. La juge condamne M</w:t>
      </w:r>
      <w:r w:rsidRPr="00DE4A9F">
        <w:rPr>
          <w:rFonts w:cs="Times New Roman"/>
          <w:vertAlign w:val="superscript"/>
        </w:rPr>
        <w:t>me</w:t>
      </w:r>
      <w:r w:rsidRPr="00DE4A9F">
        <w:rPr>
          <w:rFonts w:cs="Times New Roman"/>
        </w:rPr>
        <w:t xml:space="preserve"> Riddle aux frais de justice, incluant les frais de l’expert d’ivari, M</w:t>
      </w:r>
      <w:r w:rsidRPr="00DE4A9F">
        <w:rPr>
          <w:rFonts w:cs="Times New Roman"/>
          <w:vertAlign w:val="superscript"/>
        </w:rPr>
        <w:t>e</w:t>
      </w:r>
      <w:r w:rsidRPr="00DE4A9F">
        <w:rPr>
          <w:rFonts w:cs="Times New Roman"/>
        </w:rPr>
        <w:t xml:space="preserve"> Sadafi Charghooshi. </w:t>
      </w:r>
    </w:p>
    <w:p w14:paraId="65C1A1F0" w14:textId="77777777" w:rsidR="00DE4A9F" w:rsidRPr="00DE4A9F" w:rsidRDefault="00DE4A9F" w:rsidP="00DE4A9F">
      <w:pPr>
        <w:pStyle w:val="Title3LevelTitre3Niveau"/>
        <w:numPr>
          <w:ilvl w:val="2"/>
          <w:numId w:val="8"/>
        </w:numPr>
        <w:rPr>
          <w:rFonts w:cs="Times New Roman"/>
          <w:lang w:val="fr-CA"/>
        </w:rPr>
      </w:pPr>
      <w:r w:rsidRPr="00DE4A9F">
        <w:rPr>
          <w:rFonts w:cs="Times New Roman"/>
          <w:lang w:val="fr-CA"/>
        </w:rPr>
        <w:t>Cour d’appel du Québec, 2023 QCCA 1111 (les juges Marcotte, Hogue et Rancourt)</w:t>
      </w:r>
    </w:p>
    <w:p w14:paraId="506E57FE" w14:textId="77777777" w:rsidR="00DE4A9F" w:rsidRPr="00DE4A9F" w:rsidRDefault="00DE4A9F" w:rsidP="00DE4A9F">
      <w:pPr>
        <w:pStyle w:val="ParaNoNdepar-AltN"/>
        <w:rPr>
          <w:rFonts w:cs="Times New Roman"/>
        </w:rPr>
      </w:pPr>
      <w:r w:rsidRPr="00DE4A9F">
        <w:rPr>
          <w:rFonts w:cs="Times New Roman"/>
        </w:rPr>
        <w:t>La Cour d’appel confirme le jugement de première instance, outre la condamnation aux frais d’expert, et rejette pour l’essentiel les nombreux moyens d’appel présentés par M</w:t>
      </w:r>
      <w:r w:rsidRPr="00DE4A9F">
        <w:rPr>
          <w:rFonts w:cs="Times New Roman"/>
          <w:vertAlign w:val="superscript"/>
        </w:rPr>
        <w:t>me</w:t>
      </w:r>
      <w:r w:rsidRPr="00DE4A9F">
        <w:rPr>
          <w:rFonts w:cs="Times New Roman"/>
        </w:rPr>
        <w:t xml:space="preserve"> Riddle. </w:t>
      </w:r>
    </w:p>
    <w:p w14:paraId="34328304" w14:textId="77777777" w:rsidR="00DE4A9F" w:rsidRPr="00DE4A9F" w:rsidRDefault="00DE4A9F" w:rsidP="00DE4A9F">
      <w:pPr>
        <w:pStyle w:val="ParaNoNdepar-AltN"/>
        <w:rPr>
          <w:rFonts w:cs="Times New Roman"/>
        </w:rPr>
      </w:pPr>
      <w:r w:rsidRPr="00DE4A9F">
        <w:rPr>
          <w:rFonts w:cs="Times New Roman"/>
        </w:rPr>
        <w:t xml:space="preserve">En ce qui concerne l’absence de signification, la cour estime que l’absence de préjudice pour M. Imanpoorsaid permet de passer outre ce vice procédural. Si la demande d’ivari lui avait été signifiée et qu’il était intervenu à l’instance, sa présence aurait démontré qu’il est vivant, ce qui aurait conduit le tribunal à accueillir la demande en annulation du jugement déclaratif de décès. </w:t>
      </w:r>
    </w:p>
    <w:p w14:paraId="10D8FED5" w14:textId="77777777" w:rsidR="00DE4A9F" w:rsidRPr="00DE4A9F" w:rsidRDefault="00DE4A9F" w:rsidP="00DE4A9F">
      <w:pPr>
        <w:pStyle w:val="ParaNoNdepar-AltN"/>
        <w:rPr>
          <w:rFonts w:cs="Times New Roman"/>
        </w:rPr>
      </w:pPr>
      <w:r w:rsidRPr="00DE4A9F">
        <w:rPr>
          <w:rFonts w:cs="Times New Roman"/>
        </w:rPr>
        <w:t>En ce qui a trait à la notion de « retour », la Cour d’appel rejette l’argument de M</w:t>
      </w:r>
      <w:r w:rsidRPr="00DE4A9F">
        <w:rPr>
          <w:rFonts w:cs="Times New Roman"/>
          <w:vertAlign w:val="superscript"/>
        </w:rPr>
        <w:t>me</w:t>
      </w:r>
      <w:r w:rsidRPr="00DE4A9F">
        <w:rPr>
          <w:rFonts w:cs="Times New Roman"/>
        </w:rPr>
        <w:t xml:space="preserve"> Riddle selon lequel l’annulation d’un jugement déclaratif de décès exige une preuve « certaine » que la personne absente est en vie, une preuve supérieure à la prépondérance des probabilités</w:t>
      </w:r>
      <w:r w:rsidRPr="00DE4A9F">
        <w:rPr>
          <w:rFonts w:eastAsia="Times New Roman" w:cs="Times New Roman"/>
          <w:lang w:eastAsia="en-CA"/>
        </w:rPr>
        <w:t>.</w:t>
      </w:r>
      <w:r w:rsidRPr="00DE4A9F">
        <w:rPr>
          <w:rFonts w:cs="Times New Roman"/>
        </w:rPr>
        <w:t xml:space="preserve"> La cour estime que le « retour » de la personne </w:t>
      </w:r>
      <w:r w:rsidRPr="00DE4A9F">
        <w:rPr>
          <w:rFonts w:cs="Times New Roman"/>
        </w:rPr>
        <w:lastRenderedPageBreak/>
        <w:t xml:space="preserve">déclarée décédée peut également être démontré par une preuve établissant qu’elle est toujours vivante, peu importe qu’elle soit effectivement revenue à son domicile. La cour soutient qu’une interprétation restrictive de cette notion irait à l’encontre de l’objectif du législateur d’assurer la véracité des actes de l’état civil et mènerait à des résultats absurdes permettant d’éluder la loi. La Cour d’appel ne tranche pas la question de savoir si la preuve du retour requiert un degré de preuve plus élevé que la simple prépondérance des probabilités, et elle juge qu’en l’espèce la preuve administrée dépasse ce seuil et démontre que M. Imanpoorsaid est presque certainement vivant. </w:t>
      </w:r>
    </w:p>
    <w:p w14:paraId="6FB4E4B4" w14:textId="77777777" w:rsidR="00DE4A9F" w:rsidRPr="00DE4A9F" w:rsidRDefault="00DE4A9F" w:rsidP="00DE4A9F">
      <w:pPr>
        <w:pStyle w:val="ParaNoNdepar-AltN"/>
        <w:rPr>
          <w:rFonts w:cs="Times New Roman"/>
        </w:rPr>
      </w:pPr>
      <w:r w:rsidRPr="00DE4A9F">
        <w:rPr>
          <w:rFonts w:cs="Times New Roman"/>
        </w:rPr>
        <w:t>La Cour d’appel conclut que la juge de première instance n’a pas exercé sa discrétion de manière déraisonnable et n’a pas commis une erreur de droit en rejetant la demande de M</w:t>
      </w:r>
      <w:r w:rsidRPr="00DE4A9F">
        <w:rPr>
          <w:rFonts w:cs="Times New Roman"/>
          <w:vertAlign w:val="superscript"/>
        </w:rPr>
        <w:t>me</w:t>
      </w:r>
      <w:r w:rsidRPr="00DE4A9F">
        <w:rPr>
          <w:rFonts w:cs="Times New Roman"/>
        </w:rPr>
        <w:t xml:space="preserve"> Riddle reprochant une conduite procédurale abusive et en la condamnant aux frais de justice. La cour ordonne cependant que chaque partie assume ses propres frais d’expertise, considérant qu’ivari avait l’obligation, en vertu de l’art. 98 </w:t>
      </w:r>
      <w:r w:rsidRPr="00DE4A9F">
        <w:rPr>
          <w:rFonts w:cs="Times New Roman"/>
          <w:i/>
        </w:rPr>
        <w:t>C.c.Q.</w:t>
      </w:r>
      <w:r w:rsidRPr="00DE4A9F">
        <w:rPr>
          <w:rFonts w:cs="Times New Roman"/>
        </w:rPr>
        <w:t>, de démontrer que M. Imanpoorsaid était toujours vivant afin d’obtenir l’annulation du jugement déclaratif de décès. La Cour d’appel juge que, puisqu’ivari a choisi de faire cette preuve au moyen de documents émanant des autorités iraniennes, elle aurait eu à engager ces frais même si M</w:t>
      </w:r>
      <w:r w:rsidRPr="00DE4A9F">
        <w:rPr>
          <w:rFonts w:cs="Times New Roman"/>
          <w:vertAlign w:val="superscript"/>
        </w:rPr>
        <w:t>me</w:t>
      </w:r>
      <w:r w:rsidRPr="00DE4A9F">
        <w:rPr>
          <w:rFonts w:cs="Times New Roman"/>
        </w:rPr>
        <w:t xml:space="preserve"> Riddle n’avait jamais contesté sa demande en annulation. </w:t>
      </w:r>
      <w:bookmarkStart w:id="8" w:name="_Hlk225348144"/>
      <w:r w:rsidRPr="00DE4A9F">
        <w:rPr>
          <w:rFonts w:cs="Times New Roman"/>
        </w:rPr>
        <w:t xml:space="preserve">La Cour d’appel déclare par ailleurs sans objet l’appel du jugement déclaratif de décès, dès lors qu’elle maintient le jugement </w:t>
      </w:r>
      <w:bookmarkEnd w:id="8"/>
      <w:r w:rsidRPr="00DE4A9F">
        <w:rPr>
          <w:rFonts w:cs="Times New Roman"/>
        </w:rPr>
        <w:t>l’annulant.</w:t>
      </w:r>
    </w:p>
    <w:p w14:paraId="09B6B77E" w14:textId="77777777" w:rsidR="00DE4A9F" w:rsidRPr="00DE4A9F" w:rsidRDefault="00DE4A9F" w:rsidP="00DE4A9F">
      <w:pPr>
        <w:pStyle w:val="Title1LevelTitre1Niveau-AltL"/>
        <w:numPr>
          <w:ilvl w:val="0"/>
          <w:numId w:val="8"/>
        </w:numPr>
        <w:rPr>
          <w:rFonts w:cs="Times New Roman"/>
        </w:rPr>
      </w:pPr>
      <w:r w:rsidRPr="00DE4A9F">
        <w:rPr>
          <w:rFonts w:cs="Times New Roman"/>
        </w:rPr>
        <w:t>Questions en litige</w:t>
      </w:r>
    </w:p>
    <w:p w14:paraId="41AA180B" w14:textId="77777777" w:rsidR="00DE4A9F" w:rsidRPr="00DE4A9F" w:rsidRDefault="00DE4A9F" w:rsidP="00DE4A9F">
      <w:pPr>
        <w:pStyle w:val="ParaNoNdepar-AltN"/>
        <w:rPr>
          <w:rFonts w:cs="Times New Roman"/>
        </w:rPr>
      </w:pPr>
      <w:r w:rsidRPr="00DE4A9F">
        <w:rPr>
          <w:rFonts w:cs="Times New Roman"/>
        </w:rPr>
        <w:t xml:space="preserve">Le pourvoi soulève deux questions : </w:t>
      </w:r>
    </w:p>
    <w:p w14:paraId="35692B79" w14:textId="77777777" w:rsidR="00DE4A9F" w:rsidRPr="00DE4A9F" w:rsidRDefault="00DE4A9F" w:rsidP="00DE4A9F">
      <w:pPr>
        <w:pStyle w:val="ContinueParaSuitedupar-AltP"/>
        <w:numPr>
          <w:ilvl w:val="0"/>
          <w:numId w:val="22"/>
        </w:numPr>
        <w:ind w:left="1742" w:hanging="576"/>
        <w:rPr>
          <w:rFonts w:cs="Times New Roman"/>
        </w:rPr>
      </w:pPr>
      <w:r w:rsidRPr="00DE4A9F">
        <w:rPr>
          <w:rFonts w:cs="Times New Roman"/>
        </w:rPr>
        <w:lastRenderedPageBreak/>
        <w:t>La personne déclarée décédée doit-elle recevoir notification du recours relatif à son retour?</w:t>
      </w:r>
    </w:p>
    <w:p w14:paraId="1EB593C1" w14:textId="77777777" w:rsidR="00DE4A9F" w:rsidRPr="00DE4A9F" w:rsidRDefault="00DE4A9F" w:rsidP="00DE4A9F">
      <w:pPr>
        <w:pStyle w:val="ContinueParaSuitedupar-AltP"/>
        <w:numPr>
          <w:ilvl w:val="0"/>
          <w:numId w:val="22"/>
        </w:numPr>
        <w:ind w:left="1742" w:hanging="576"/>
        <w:rPr>
          <w:rFonts w:cs="Times New Roman"/>
        </w:rPr>
      </w:pPr>
      <w:r w:rsidRPr="00DE4A9F">
        <w:rPr>
          <w:rFonts w:cs="Times New Roman"/>
        </w:rPr>
        <w:t>Quel degré de preuve incombe à celui qui désire prouver le retour d’une personne déclarée décédée?</w:t>
      </w:r>
    </w:p>
    <w:p w14:paraId="36F221F0" w14:textId="77777777" w:rsidR="00DE4A9F" w:rsidRPr="00DE4A9F" w:rsidRDefault="00DE4A9F" w:rsidP="00DE4A9F">
      <w:pPr>
        <w:pStyle w:val="Title2LevelTitre2Niveau"/>
        <w:numPr>
          <w:ilvl w:val="1"/>
          <w:numId w:val="8"/>
        </w:numPr>
        <w:rPr>
          <w:rFonts w:cs="Times New Roman"/>
          <w:lang w:val="fr-CA"/>
        </w:rPr>
      </w:pPr>
      <w:bookmarkStart w:id="9" w:name="_Hlk225509852"/>
      <w:r w:rsidRPr="00DE4A9F">
        <w:rPr>
          <w:rFonts w:cs="Times New Roman"/>
          <w:lang w:val="fr-CA"/>
        </w:rPr>
        <w:t>La personne déclarée décédée doit-elle recevoir notification du recours relatif à son retour?</w:t>
      </w:r>
    </w:p>
    <w:p w14:paraId="020CD154" w14:textId="77777777" w:rsidR="00DE4A9F" w:rsidRPr="00DE4A9F" w:rsidRDefault="00DE4A9F" w:rsidP="00DE4A9F">
      <w:pPr>
        <w:pStyle w:val="ParaNoNdepar-AltN"/>
        <w:rPr>
          <w:rFonts w:cs="Times New Roman"/>
        </w:rPr>
      </w:pPr>
      <w:r w:rsidRPr="00DE4A9F">
        <w:rPr>
          <w:rFonts w:cs="Times New Roman"/>
        </w:rPr>
        <w:t>Dans un premier temps, nous devons examiner la question de savoir si le défaut d’ivari d’avoir signifié ou tenté de signifier à M. Imanpoorsaid sa procédure en annulation du jugement déclaratif de décès a pour effet d’entraîner, comme le soutient M</w:t>
      </w:r>
      <w:r w:rsidRPr="00DE4A9F">
        <w:rPr>
          <w:rFonts w:cs="Times New Roman"/>
          <w:vertAlign w:val="superscript"/>
        </w:rPr>
        <w:t>me</w:t>
      </w:r>
      <w:r w:rsidRPr="00DE4A9F">
        <w:rPr>
          <w:rFonts w:cs="Times New Roman"/>
        </w:rPr>
        <w:t xml:space="preserve"> Riddle, le rejet de sa demande et la nullité des décisions subséquentes. Ivari affirme pour sa part que la signification de la procédure n’était pas nécessaire et qu’une conclusion inverse mènerait à des résultats absurdes et contraires à l’intérêt de la justice et au principe directeur de la proportionnalité.</w:t>
      </w:r>
    </w:p>
    <w:p w14:paraId="40C72E86" w14:textId="77777777" w:rsidR="00DE4A9F" w:rsidRPr="00DE4A9F" w:rsidRDefault="00DE4A9F" w:rsidP="00DE4A9F">
      <w:pPr>
        <w:pStyle w:val="ParaNoNdepar-AltN"/>
        <w:rPr>
          <w:rFonts w:cs="Times New Roman"/>
        </w:rPr>
      </w:pPr>
      <w:r w:rsidRPr="00DE4A9F">
        <w:rPr>
          <w:rFonts w:cs="Times New Roman"/>
        </w:rPr>
        <w:t xml:space="preserve">Je suis d’avis qu’ivari aurait dû tenter de signifier la procédure à M. Imanpoorsaid, mais, compte tenu des circonstances particulières de l’affaire, nommément le fait que ce dernier n’a subi aucun préjudice en raison de cette irrégularité, le vice de procédure n’entraîne pas la nullité du jugement de première instance. </w:t>
      </w:r>
    </w:p>
    <w:p w14:paraId="3450AE90" w14:textId="77777777" w:rsidR="00DE4A9F" w:rsidRPr="00DE4A9F" w:rsidRDefault="00DE4A9F" w:rsidP="00DE4A9F">
      <w:pPr>
        <w:pStyle w:val="ParaNoNdepar-AltN"/>
        <w:rPr>
          <w:rFonts w:cs="Times New Roman"/>
        </w:rPr>
      </w:pPr>
      <w:r w:rsidRPr="00DE4A9F">
        <w:rPr>
          <w:rFonts w:cs="Times New Roman"/>
          <w:shd w:val="clear" w:color="auto" w:fill="FFFFFF"/>
        </w:rPr>
        <w:lastRenderedPageBreak/>
        <w:t xml:space="preserve">La signification est une règle cardinale de notre droit processuel. Aux termes du </w:t>
      </w:r>
      <w:r w:rsidRPr="00DE4A9F">
        <w:rPr>
          <w:rFonts w:cs="Times New Roman"/>
          <w:i/>
          <w:shd w:val="clear" w:color="auto" w:fill="FFFFFF"/>
        </w:rPr>
        <w:t>Code de procédure civile</w:t>
      </w:r>
      <w:r w:rsidRPr="00DE4A9F">
        <w:rPr>
          <w:rFonts w:cs="Times New Roman"/>
          <w:shd w:val="clear" w:color="auto" w:fill="FFFFFF"/>
        </w:rPr>
        <w:t>, « [l]a demande introductive d’instance doit être signifiée au défendeur et aux autres parties » (art. 140 </w:t>
      </w:r>
      <w:r w:rsidRPr="00DE4A9F">
        <w:rPr>
          <w:rFonts w:cs="Times New Roman"/>
          <w:i/>
          <w:iCs/>
          <w:shd w:val="clear" w:color="auto" w:fill="FFFFFF"/>
        </w:rPr>
        <w:t>C.p.c.</w:t>
      </w:r>
      <w:r w:rsidRPr="00DE4A9F">
        <w:rPr>
          <w:rFonts w:cs="Times New Roman"/>
          <w:shd w:val="clear" w:color="auto" w:fill="FFFFFF"/>
        </w:rPr>
        <w:t>), c’est-à-dire notifiée par huissier (art. 110 al. 2 et 139 al. 1 </w:t>
      </w:r>
      <w:r w:rsidRPr="00DE4A9F">
        <w:rPr>
          <w:rFonts w:cs="Times New Roman"/>
          <w:i/>
          <w:iCs/>
          <w:shd w:val="clear" w:color="auto" w:fill="FFFFFF"/>
        </w:rPr>
        <w:t>C.p.c.</w:t>
      </w:r>
      <w:r w:rsidRPr="00DE4A9F">
        <w:rPr>
          <w:rFonts w:cs="Times New Roman"/>
          <w:shd w:val="clear" w:color="auto" w:fill="FFFFFF"/>
        </w:rPr>
        <w:t xml:space="preserve">). </w:t>
      </w:r>
      <w:r w:rsidRPr="00DE4A9F">
        <w:rPr>
          <w:rFonts w:cs="Times New Roman"/>
        </w:rPr>
        <w:t xml:space="preserve">La notification des actes de procédures a pour objet de porter un document à la connaissance des personnes intéressées (art. 109 </w:t>
      </w:r>
      <w:r w:rsidRPr="00DE4A9F">
        <w:rPr>
          <w:rFonts w:cs="Times New Roman"/>
          <w:i/>
        </w:rPr>
        <w:t>C.p.c.</w:t>
      </w:r>
      <w:r w:rsidRPr="00DE4A9F">
        <w:rPr>
          <w:rFonts w:cs="Times New Roman"/>
        </w:rPr>
        <w:t>). Elle consacre le principe « d’une équité universelle » selon lequel toute personne devrait être informée des procédures susceptibles d’affecter ses droits afin de lui donner la possibilité d’être entendue, c’est-à-dire de présenter des moyens et de faire valoir ses intérêts (</w:t>
      </w:r>
      <w:r w:rsidRPr="00DE4A9F">
        <w:rPr>
          <w:rFonts w:cs="Times New Roman"/>
          <w:i/>
        </w:rPr>
        <w:t xml:space="preserve">Alliance des Professeurs Catholiques de Montréal c. </w:t>
      </w:r>
      <w:r w:rsidRPr="00DE4A9F">
        <w:rPr>
          <w:rFonts w:cs="Times New Roman"/>
          <w:i/>
          <w:lang w:val="fr-FR"/>
        </w:rPr>
        <w:t>Quebec Labour Relations Board</w:t>
      </w:r>
      <w:r w:rsidRPr="00DE4A9F">
        <w:rPr>
          <w:rFonts w:cs="Times New Roman"/>
          <w:lang w:val="fr-FR"/>
        </w:rPr>
        <w:t>, [1953] 2 R.C.S.</w:t>
      </w:r>
      <w:r w:rsidRPr="00DE4A9F">
        <w:rPr>
          <w:rFonts w:cs="Times New Roman"/>
        </w:rPr>
        <w:t xml:space="preserve"> 140,</w:t>
      </w:r>
      <w:r w:rsidRPr="00DE4A9F">
        <w:rPr>
          <w:rFonts w:cs="Times New Roman"/>
          <w:lang w:val="fr-FR"/>
        </w:rPr>
        <w:t xml:space="preserve"> p. </w:t>
      </w:r>
      <w:r w:rsidRPr="00DE4A9F">
        <w:rPr>
          <w:rFonts w:cs="Times New Roman"/>
        </w:rPr>
        <w:t>154; voir aussi J. S. Vaillancourt, « </w:t>
      </w:r>
      <w:r w:rsidRPr="00DE4A9F">
        <w:rPr>
          <w:rFonts w:cs="Times New Roman"/>
          <w:iCs/>
        </w:rPr>
        <w:t>Article 109 »</w:t>
      </w:r>
      <w:r w:rsidRPr="00DE4A9F">
        <w:rPr>
          <w:rFonts w:cs="Times New Roman"/>
        </w:rPr>
        <w:t xml:space="preserve">, dans L. Chamberland, dir., </w:t>
      </w:r>
      <w:r w:rsidRPr="00DE4A9F">
        <w:rPr>
          <w:rFonts w:cs="Times New Roman"/>
          <w:i/>
          <w:iCs/>
        </w:rPr>
        <w:t xml:space="preserve">Le grand collectif : Code de procédure civile — Commentaires et annotations </w:t>
      </w:r>
      <w:r w:rsidRPr="00DE4A9F">
        <w:rPr>
          <w:rFonts w:cs="Times New Roman"/>
          <w:iCs/>
        </w:rPr>
        <w:t>(10</w:t>
      </w:r>
      <w:r w:rsidRPr="00DE4A9F">
        <w:rPr>
          <w:rFonts w:cs="Times New Roman"/>
          <w:iCs/>
          <w:vertAlign w:val="superscript"/>
        </w:rPr>
        <w:t>e</w:t>
      </w:r>
      <w:r w:rsidRPr="00DE4A9F">
        <w:rPr>
          <w:rFonts w:cs="Times New Roman"/>
          <w:iCs/>
        </w:rPr>
        <w:t xml:space="preserve"> éd. 2025)</w:t>
      </w:r>
      <w:r w:rsidRPr="00DE4A9F">
        <w:rPr>
          <w:rFonts w:cs="Times New Roman"/>
        </w:rPr>
        <w:t xml:space="preserve">, vol. 1, p. 873). La signification donne effet à la règle </w:t>
      </w:r>
      <w:r w:rsidRPr="00DE4A9F">
        <w:rPr>
          <w:rFonts w:cs="Times New Roman"/>
          <w:i/>
        </w:rPr>
        <w:t>audi alteram partem</w:t>
      </w:r>
      <w:r w:rsidRPr="00DE4A9F">
        <w:rPr>
          <w:rFonts w:cs="Times New Roman"/>
        </w:rPr>
        <w:t xml:space="preserve">, laquelle constitue un « principe vénérable » parmi les « principes fondamentaux de la justice » et est enchâssée à l’art. 17 </w:t>
      </w:r>
      <w:r w:rsidRPr="00DE4A9F">
        <w:rPr>
          <w:rFonts w:cs="Times New Roman"/>
          <w:i/>
        </w:rPr>
        <w:t>C.p.c.</w:t>
      </w:r>
      <w:r w:rsidRPr="00DE4A9F">
        <w:rPr>
          <w:rFonts w:cs="Times New Roman"/>
        </w:rPr>
        <w:t xml:space="preserve"> dans le chapitre intitulé « Les principes directeurs de la procédure » (voir D. Ferland et B. Emery, </w:t>
      </w:r>
      <w:r w:rsidRPr="00DE4A9F">
        <w:rPr>
          <w:rFonts w:cs="Times New Roman"/>
          <w:i/>
        </w:rPr>
        <w:t xml:space="preserve">Précis de procédure civile du Québec </w:t>
      </w:r>
      <w:r w:rsidRPr="00DE4A9F">
        <w:rPr>
          <w:rFonts w:cs="Times New Roman"/>
        </w:rPr>
        <w:t>(7</w:t>
      </w:r>
      <w:r w:rsidRPr="00DE4A9F">
        <w:rPr>
          <w:rFonts w:cs="Times New Roman"/>
          <w:vertAlign w:val="superscript"/>
        </w:rPr>
        <w:t>e</w:t>
      </w:r>
      <w:r w:rsidRPr="00DE4A9F">
        <w:rPr>
          <w:rFonts w:cs="Times New Roman"/>
        </w:rPr>
        <w:t xml:space="preserve"> éd. 2025), vol. 1, par. 1-157). Le juge Dickson a décrit ainsi cette règle, en se référant à la jurisprudence issue de la common law : « Le tribunal doit entendre équitablement les deux parties au litige afin de leur donner la possibilité [</w:t>
      </w:r>
      <w:r w:rsidRPr="00DE4A9F">
        <w:rPr>
          <w:rFonts w:cs="Times New Roman"/>
          <w:smallCaps/>
        </w:rPr>
        <w:t>traduction</w:t>
      </w:r>
      <w:r w:rsidRPr="00DE4A9F">
        <w:rPr>
          <w:rFonts w:cs="Times New Roman"/>
        </w:rPr>
        <w:t>] “de rectifier ou de contredire toute déclaration pertinente préjudiciable à leurs points de vue” » (</w:t>
      </w:r>
      <w:r w:rsidRPr="00DE4A9F">
        <w:rPr>
          <w:rFonts w:cs="Times New Roman"/>
          <w:i/>
          <w:iCs/>
        </w:rPr>
        <w:t>Kane</w:t>
      </w:r>
      <w:r w:rsidRPr="00DE4A9F">
        <w:rPr>
          <w:rFonts w:cs="Times New Roman"/>
        </w:rPr>
        <w:t> </w:t>
      </w:r>
      <w:r w:rsidRPr="00DE4A9F">
        <w:rPr>
          <w:rFonts w:cs="Times New Roman"/>
          <w:i/>
        </w:rPr>
        <w:t>c.</w:t>
      </w:r>
      <w:r w:rsidRPr="00DE4A9F">
        <w:rPr>
          <w:rFonts w:cs="Times New Roman"/>
        </w:rPr>
        <w:t> </w:t>
      </w:r>
      <w:r w:rsidRPr="00DE4A9F">
        <w:rPr>
          <w:rFonts w:cs="Times New Roman"/>
          <w:i/>
          <w:iCs/>
        </w:rPr>
        <w:t>Conseil d’administration (Université de la Colombie-Britannique)</w:t>
      </w:r>
      <w:r w:rsidRPr="00DE4A9F">
        <w:rPr>
          <w:rFonts w:cs="Times New Roman"/>
        </w:rPr>
        <w:t xml:space="preserve">, [1980] 1 R.C.S. 1105, p. 1113, citant </w:t>
      </w:r>
      <w:r w:rsidRPr="00DE4A9F">
        <w:rPr>
          <w:rFonts w:cs="Times New Roman"/>
          <w:i/>
        </w:rPr>
        <w:t>Board of Education c. Rice</w:t>
      </w:r>
      <w:r w:rsidRPr="00DE4A9F">
        <w:rPr>
          <w:rFonts w:cs="Times New Roman"/>
        </w:rPr>
        <w:t xml:space="preserve">, </w:t>
      </w:r>
      <w:r w:rsidRPr="00DE4A9F">
        <w:rPr>
          <w:rFonts w:cs="Times New Roman"/>
          <w:lang w:val="fr-FR"/>
        </w:rPr>
        <w:t>[1911]</w:t>
      </w:r>
      <w:r w:rsidRPr="00DE4A9F">
        <w:rPr>
          <w:rFonts w:cs="Times New Roman"/>
        </w:rPr>
        <w:t xml:space="preserve"> A.C. 179, p. 182). </w:t>
      </w:r>
    </w:p>
    <w:p w14:paraId="164599AA" w14:textId="77777777" w:rsidR="00DE4A9F" w:rsidRPr="00DE4A9F" w:rsidRDefault="00DE4A9F" w:rsidP="00DE4A9F">
      <w:pPr>
        <w:pStyle w:val="ParaNoNdepar-AltN"/>
        <w:rPr>
          <w:rFonts w:cs="Times New Roman"/>
        </w:rPr>
      </w:pPr>
      <w:r w:rsidRPr="00DE4A9F">
        <w:rPr>
          <w:rFonts w:cs="Times New Roman"/>
        </w:rPr>
        <w:lastRenderedPageBreak/>
        <w:t xml:space="preserve">Le droit d’être entendu ne peut être simplement écarté par application du principe de proportionnalité consacré à l’art. 18 </w:t>
      </w:r>
      <w:r w:rsidRPr="00DE4A9F">
        <w:rPr>
          <w:rFonts w:cs="Times New Roman"/>
          <w:i/>
        </w:rPr>
        <w:t>C.p.c.</w:t>
      </w:r>
      <w:r w:rsidRPr="00DE4A9F">
        <w:rPr>
          <w:rFonts w:cs="Times New Roman"/>
        </w:rPr>
        <w:t xml:space="preserve"> (</w:t>
      </w:r>
      <w:r w:rsidRPr="00DE4A9F">
        <w:rPr>
          <w:rFonts w:cs="Times New Roman"/>
          <w:i/>
        </w:rPr>
        <w:t>Sani-Terre Environnement inc. c. Villéco inc.</w:t>
      </w:r>
      <w:r w:rsidRPr="00DE4A9F">
        <w:rPr>
          <w:rFonts w:cs="Times New Roman"/>
        </w:rPr>
        <w:t>, 2021 QCCA 326, par. 3-7). Ce droit est une règle d’équité procédurale d’ordre public qui transcende les intérêts des parties en cause, puisqu’elle garantit la nature et l’intégrité du processus judiciaire en tant que tel (</w:t>
      </w:r>
      <w:r w:rsidRPr="00DE4A9F">
        <w:rPr>
          <w:rFonts w:cs="Times New Roman"/>
          <w:bCs/>
          <w:i/>
        </w:rPr>
        <w:t>Robillard c. Commission Hydroélectrique de Québec</w:t>
      </w:r>
      <w:r w:rsidRPr="00DE4A9F">
        <w:rPr>
          <w:rFonts w:cs="Times New Roman"/>
          <w:bCs/>
        </w:rPr>
        <w:t>, [1954] R.C.S. 695</w:t>
      </w:r>
      <w:r w:rsidRPr="00DE4A9F">
        <w:rPr>
          <w:rFonts w:cs="Times New Roman"/>
        </w:rPr>
        <w:t xml:space="preserve">, p. 699; </w:t>
      </w:r>
      <w:r w:rsidRPr="00DE4A9F">
        <w:rPr>
          <w:rFonts w:cs="Times New Roman"/>
          <w:i/>
        </w:rPr>
        <w:t>Gestion Bon Conseil inc. c. Guèvremont</w:t>
      </w:r>
      <w:r w:rsidRPr="00DE4A9F">
        <w:rPr>
          <w:rFonts w:cs="Times New Roman"/>
        </w:rPr>
        <w:t>, 2006 QCCA 109, par. 197).</w:t>
      </w:r>
      <w:r w:rsidRPr="00DE4A9F">
        <w:rPr>
          <w:rFonts w:cs="Times New Roman"/>
          <w:szCs w:val="24"/>
          <w:lang w:eastAsia="fr-CA"/>
        </w:rPr>
        <w:t xml:space="preserve"> </w:t>
      </w:r>
      <w:r w:rsidRPr="00DE4A9F">
        <w:rPr>
          <w:rFonts w:cs="Times New Roman"/>
        </w:rPr>
        <w:t xml:space="preserve">Le </w:t>
      </w:r>
      <w:r w:rsidRPr="00DE4A9F">
        <w:rPr>
          <w:rFonts w:cs="Times New Roman"/>
          <w:i/>
        </w:rPr>
        <w:t>Code de procédure civile</w:t>
      </w:r>
      <w:r w:rsidRPr="00DE4A9F">
        <w:rPr>
          <w:rFonts w:cs="Times New Roman"/>
        </w:rPr>
        <w:t xml:space="preserve"> ne prévoit aucune sanction spécifique en cas de défaut de signification. Un tel manquement n’est toutefois pas sans conséquence. Lorsque l’irrégularité est d’une gravité telle qu’elle porte atteinte à l’équité naturelle du procès et compromet l’intégrité du processus judiciaire, elle peut entraîner des conséquences procédurales importantes, comme la péremption de la demande et la perte de compétence du tribunal. </w:t>
      </w:r>
      <w:r w:rsidRPr="00DE4A9F">
        <w:rPr>
          <w:rFonts w:cs="Times New Roman"/>
          <w:bCs/>
        </w:rPr>
        <w:t>C’est le cas lorsque le défaut de signification cause un préjudice à une partie, en la privant d’une possibilité réelle et utile de faire valoir ses observations.</w:t>
      </w:r>
    </w:p>
    <w:p w14:paraId="0724CFF3" w14:textId="77777777" w:rsidR="00DE4A9F" w:rsidRPr="00DE4A9F" w:rsidRDefault="00DE4A9F" w:rsidP="00DE4A9F">
      <w:pPr>
        <w:pStyle w:val="ParaNoNdepar-AltN"/>
        <w:rPr>
          <w:rFonts w:cs="Times New Roman"/>
        </w:rPr>
      </w:pPr>
      <w:r w:rsidRPr="00DE4A9F">
        <w:rPr>
          <w:rFonts w:cs="Times New Roman"/>
        </w:rPr>
        <w:t>Cela étant, toute omission ou autre irrégularité de signification n’emporte pas automatiquement de telles conséquences, lorsque l’intégrité du processus judiciaire n’est pas autrement compromise. C’est ainsi que</w:t>
      </w:r>
      <w:r w:rsidRPr="00DE4A9F">
        <w:rPr>
          <w:rFonts w:cs="Times New Roman"/>
          <w:b/>
        </w:rPr>
        <w:t xml:space="preserve"> </w:t>
      </w:r>
      <w:r w:rsidRPr="00DE4A9F">
        <w:rPr>
          <w:rFonts w:cs="Times New Roman"/>
        </w:rPr>
        <w:t>la jurisprudence québécoise reconnaît qu’une partie ne peut soulever l’irrégularité d’une signification si elle a eu connaissance du recours entrepris contre elle et qu’elle n’a subi aucun préjudice de ce défaut (</w:t>
      </w:r>
      <w:r w:rsidRPr="00DE4A9F">
        <w:rPr>
          <w:rFonts w:cs="Times New Roman"/>
          <w:i/>
        </w:rPr>
        <w:t>Droit de la famille — 192513</w:t>
      </w:r>
      <w:r w:rsidRPr="00DE4A9F">
        <w:rPr>
          <w:rFonts w:cs="Times New Roman"/>
        </w:rPr>
        <w:t xml:space="preserve">, 2019 QCCA 2139, par. 50). </w:t>
      </w:r>
      <w:r w:rsidRPr="00DE4A9F">
        <w:rPr>
          <w:rFonts w:cs="Times New Roman"/>
          <w:bCs/>
        </w:rPr>
        <w:t xml:space="preserve">L’absence de préjudice, dans un tel contexte, permet de conclure que l’équité du procès et l’intégrité du processus </w:t>
      </w:r>
      <w:r w:rsidRPr="00DE4A9F">
        <w:rPr>
          <w:rFonts w:cs="Times New Roman"/>
          <w:bCs/>
        </w:rPr>
        <w:lastRenderedPageBreak/>
        <w:t>judiciaire ont été préservées</w:t>
      </w:r>
      <w:r w:rsidRPr="00DE4A9F">
        <w:rPr>
          <w:rFonts w:cs="Times New Roman"/>
        </w:rPr>
        <w:t>, étant donné que les parties ont pu connaître l’existence de la procédure, faire valoir leurs droits et présenter leurs observations.</w:t>
      </w:r>
    </w:p>
    <w:p w14:paraId="2A4A51CE" w14:textId="77777777" w:rsidR="00DE4A9F" w:rsidRPr="00DE4A9F" w:rsidRDefault="00DE4A9F" w:rsidP="00DE4A9F">
      <w:pPr>
        <w:pStyle w:val="ParaNoNdepar-AltN"/>
        <w:rPr>
          <w:rFonts w:cs="Times New Roman"/>
        </w:rPr>
      </w:pPr>
      <w:r w:rsidRPr="00DE4A9F">
        <w:rPr>
          <w:rFonts w:cs="Times New Roman"/>
        </w:rPr>
        <w:t xml:space="preserve">La détermination de la sanction éventuellement applicable à un manquement à l’obligation de signification demeure donc contextuelle : elle doit tenir compte des conséquences concrètes et prévisibles du défaut, non seulement pour les parties et les tiers, mais pour l’intégrité du processus judiciaire en tant que tel. À l’instar du mécanisme de rétractation prévu à l’art. 345 </w:t>
      </w:r>
      <w:r w:rsidRPr="00DE4A9F">
        <w:rPr>
          <w:rFonts w:cs="Times New Roman"/>
          <w:i/>
        </w:rPr>
        <w:t>C.p.c.</w:t>
      </w:r>
      <w:r w:rsidRPr="00DE4A9F">
        <w:rPr>
          <w:rFonts w:cs="Times New Roman"/>
        </w:rPr>
        <w:t xml:space="preserve">, ce n’est que lorsque l’absence de signification est de nature à déconsidérer l’administration de la justice — notamment en privant une personne intéressée de la possibilité de participer au débat judiciaire — que le tribunal peut refuser d’entendre une procédure qui n’a pas été notifiée ou l’a été irrégulièrement. </w:t>
      </w:r>
    </w:p>
    <w:p w14:paraId="00310BFB" w14:textId="77777777" w:rsidR="00DE4A9F" w:rsidRPr="00DE4A9F" w:rsidRDefault="00DE4A9F" w:rsidP="00DE4A9F">
      <w:pPr>
        <w:pStyle w:val="ParaNoNdepar-AltN"/>
        <w:spacing w:before="240"/>
        <w:rPr>
          <w:rFonts w:cs="Times New Roman"/>
        </w:rPr>
      </w:pPr>
      <w:r w:rsidRPr="00DE4A9F">
        <w:rPr>
          <w:rFonts w:cs="Times New Roman"/>
        </w:rPr>
        <w:t xml:space="preserve">Les difficultés pratiques qui peuvent entourer la signification, en raison par exemple de l’éloignement d’un individu ou de l’absence d’adresse connue, ne dégagent pas une partie de son obligation de porter à l’attention d’une autre partie ou de toute personne intéressée l’existence d’une procédure susceptible d’affecter leurs droits. L’article 112 </w:t>
      </w:r>
      <w:r w:rsidRPr="00DE4A9F">
        <w:rPr>
          <w:rFonts w:cs="Times New Roman"/>
          <w:i/>
        </w:rPr>
        <w:t>C.p.c.</w:t>
      </w:r>
      <w:r w:rsidRPr="00DE4A9F">
        <w:rPr>
          <w:rFonts w:cs="Times New Roman"/>
        </w:rPr>
        <w:t xml:space="preserve"> permet à un tribunal d’autoriser, lorsque les circonstances l’exigent, la notification d’un acte de procédure par un mode spécial. Le tribunal peut alors, de manière discrétionnaire, autoriser tout mode de notification qui permet « à la fois de saisir le tribunal et d’informer efficacement [le destinataire] du contenu de la demande présentée contre [lui] », notamment par un moyen technologique (art. 133 </w:t>
      </w:r>
      <w:r w:rsidRPr="00DE4A9F">
        <w:rPr>
          <w:rFonts w:cs="Times New Roman"/>
          <w:i/>
        </w:rPr>
        <w:t>C.p.c.</w:t>
      </w:r>
      <w:r w:rsidRPr="00DE4A9F">
        <w:rPr>
          <w:rFonts w:cs="Times New Roman"/>
        </w:rPr>
        <w:t xml:space="preserve">), ou encore par avis public (art. 135 </w:t>
      </w:r>
      <w:r w:rsidRPr="00DE4A9F">
        <w:rPr>
          <w:rFonts w:cs="Times New Roman"/>
          <w:i/>
        </w:rPr>
        <w:t>C.p.c.</w:t>
      </w:r>
      <w:r w:rsidRPr="00DE4A9F">
        <w:rPr>
          <w:rFonts w:cs="Times New Roman"/>
        </w:rPr>
        <w:t>) (</w:t>
      </w:r>
      <w:r w:rsidRPr="00DE4A9F">
        <w:rPr>
          <w:rFonts w:cs="Times New Roman"/>
          <w:i/>
          <w:iCs/>
        </w:rPr>
        <w:t>S.A. Louis Dreyfus &amp; Cie</w:t>
      </w:r>
      <w:r w:rsidRPr="00DE4A9F">
        <w:rPr>
          <w:rFonts w:cs="Times New Roman"/>
        </w:rPr>
        <w:t> </w:t>
      </w:r>
      <w:r w:rsidRPr="00DE4A9F">
        <w:rPr>
          <w:rFonts w:cs="Times New Roman"/>
          <w:i/>
        </w:rPr>
        <w:t>c.</w:t>
      </w:r>
      <w:r w:rsidRPr="00DE4A9F">
        <w:rPr>
          <w:rFonts w:cs="Times New Roman"/>
        </w:rPr>
        <w:t> </w:t>
      </w:r>
      <w:r w:rsidRPr="00DE4A9F">
        <w:rPr>
          <w:rFonts w:cs="Times New Roman"/>
          <w:i/>
          <w:iCs/>
        </w:rPr>
        <w:t xml:space="preserve">Holding </w:t>
      </w:r>
      <w:r w:rsidRPr="00DE4A9F">
        <w:rPr>
          <w:rFonts w:cs="Times New Roman"/>
          <w:i/>
          <w:iCs/>
        </w:rPr>
        <w:lastRenderedPageBreak/>
        <w:t>Tusculum B.V.</w:t>
      </w:r>
      <w:r w:rsidRPr="00DE4A9F">
        <w:rPr>
          <w:rFonts w:cs="Times New Roman"/>
        </w:rPr>
        <w:t>,</w:t>
      </w:r>
      <w:r w:rsidRPr="00DE4A9F">
        <w:rPr>
          <w:rFonts w:eastAsia="Times New Roman" w:cs="Times New Roman"/>
          <w:sz w:val="21"/>
          <w:szCs w:val="21"/>
          <w:shd w:val="clear" w:color="auto" w:fill="FFFFFF"/>
          <w:lang w:eastAsia="en-CA"/>
        </w:rPr>
        <w:t xml:space="preserve"> </w:t>
      </w:r>
      <w:r w:rsidRPr="00DE4A9F">
        <w:rPr>
          <w:rFonts w:cs="Times New Roman"/>
        </w:rPr>
        <w:t xml:space="preserve">[1998] R.J.Q. 1722 (C.A.), p. 1728-1729). Le demandeur a cependant le fardeau de démontrer qu’il a tenté, mais en vain, de localiser le destinataire. </w:t>
      </w:r>
    </w:p>
    <w:p w14:paraId="74A53BE0" w14:textId="77777777" w:rsidR="00DE4A9F" w:rsidRPr="00DE4A9F" w:rsidRDefault="00DE4A9F" w:rsidP="00DE4A9F">
      <w:pPr>
        <w:pStyle w:val="ParaNoNdepar-AltN"/>
        <w:spacing w:before="240"/>
        <w:rPr>
          <w:rFonts w:cs="Times New Roman"/>
        </w:rPr>
      </w:pPr>
      <w:r w:rsidRPr="00DE4A9F">
        <w:rPr>
          <w:rFonts w:cs="Times New Roman"/>
        </w:rPr>
        <w:t xml:space="preserve">Lorsque la personne à qui l’on tente de signifier un acte de procédure réside dans un État étranger, il y a lieu de se référer à l’art. 494 </w:t>
      </w:r>
      <w:r w:rsidRPr="00DE4A9F">
        <w:rPr>
          <w:rFonts w:cs="Times New Roman"/>
          <w:i/>
        </w:rPr>
        <w:t>C.p.c</w:t>
      </w:r>
      <w:r w:rsidRPr="00DE4A9F">
        <w:rPr>
          <w:rFonts w:cs="Times New Roman"/>
        </w:rPr>
        <w:t xml:space="preserve">., qui établit les règles applicables en matière de notification internationale. La procédure varie selon que l’État concerné est ou non partie à la </w:t>
      </w:r>
      <w:r w:rsidRPr="00DE4A9F">
        <w:rPr>
          <w:rFonts w:cs="Times New Roman"/>
          <w:i/>
        </w:rPr>
        <w:t>Convention relative à la signification et la notification à l’étranger des actes judiciaires et extrajudiciaires en matière civile ou commerciale</w:t>
      </w:r>
      <w:r w:rsidRPr="00DE4A9F">
        <w:rPr>
          <w:rFonts w:cs="Times New Roman"/>
        </w:rPr>
        <w:t xml:space="preserve">, R.T. Can. 1989 </w:t>
      </w:r>
      <w:proofErr w:type="gramStart"/>
      <w:r w:rsidRPr="00DE4A9F">
        <w:rPr>
          <w:rFonts w:cs="Times New Roman"/>
        </w:rPr>
        <w:t>n</w:t>
      </w:r>
      <w:r w:rsidRPr="00DE4A9F">
        <w:rPr>
          <w:rFonts w:cs="Times New Roman"/>
          <w:vertAlign w:val="superscript"/>
        </w:rPr>
        <w:t>o</w:t>
      </w:r>
      <w:proofErr w:type="gramEnd"/>
      <w:r w:rsidRPr="00DE4A9F">
        <w:rPr>
          <w:rFonts w:cs="Times New Roman"/>
        </w:rPr>
        <w:t xml:space="preserve"> 2. Si l’État est signataire, les modes de notification prévus par la Convention s’imposent. Lorsque l’État n’y est pas partie, comme c’est le cas de l’Iran, la notification s’effectue conformément aux dispositions du livre I du </w:t>
      </w:r>
      <w:r w:rsidRPr="00DE4A9F">
        <w:rPr>
          <w:rFonts w:cs="Times New Roman"/>
          <w:i/>
        </w:rPr>
        <w:t>Code</w:t>
      </w:r>
      <w:r w:rsidRPr="00DE4A9F">
        <w:rPr>
          <w:rFonts w:cs="Times New Roman"/>
        </w:rPr>
        <w:t xml:space="preserve"> </w:t>
      </w:r>
      <w:r w:rsidRPr="00DE4A9F">
        <w:rPr>
          <w:rFonts w:cs="Times New Roman"/>
          <w:i/>
        </w:rPr>
        <w:t>de procédure civile</w:t>
      </w:r>
      <w:r w:rsidRPr="00DE4A9F">
        <w:rPr>
          <w:rFonts w:cs="Times New Roman"/>
        </w:rPr>
        <w:t xml:space="preserve"> ou selon le droit en vigueur dans l’État où elle doit être réalisée. Dans ce dernier cas, le tribunal peut, en vertu de l’art. 494 al. 2 </w:t>
      </w:r>
      <w:r w:rsidRPr="00DE4A9F">
        <w:rPr>
          <w:rFonts w:cs="Times New Roman"/>
          <w:i/>
        </w:rPr>
        <w:t>C.p.c.</w:t>
      </w:r>
      <w:r w:rsidRPr="00DE4A9F">
        <w:rPr>
          <w:rFonts w:cs="Times New Roman"/>
        </w:rPr>
        <w:t>, autoriser sur demande un autre mode de notification si les circonstances l’exigent</w:t>
      </w:r>
      <w:r w:rsidRPr="00DE4A9F" w:rsidDel="001C065B">
        <w:rPr>
          <w:rFonts w:cs="Times New Roman"/>
        </w:rPr>
        <w:t xml:space="preserve"> (F. </w:t>
      </w:r>
      <w:r w:rsidRPr="00DE4A9F" w:rsidDel="001C065B">
        <w:rPr>
          <w:rFonts w:cs="Times New Roman"/>
          <w:szCs w:val="24"/>
        </w:rPr>
        <w:t>Sabourin,</w:t>
      </w:r>
      <w:r w:rsidRPr="00DE4A9F" w:rsidDel="001C065B">
        <w:rPr>
          <w:rFonts w:eastAsia="Times New Roman" w:cs="Times New Roman"/>
          <w:szCs w:val="24"/>
          <w:lang w:eastAsia="fr-CA"/>
        </w:rPr>
        <w:t xml:space="preserve"> « </w:t>
      </w:r>
      <w:r w:rsidRPr="00DE4A9F" w:rsidDel="001C065B">
        <w:rPr>
          <w:rFonts w:cs="Times New Roman"/>
          <w:bCs/>
          <w:szCs w:val="24"/>
        </w:rPr>
        <w:t>Les</w:t>
      </w:r>
      <w:r w:rsidRPr="00DE4A9F" w:rsidDel="001C065B">
        <w:rPr>
          <w:rFonts w:cs="Times New Roman"/>
          <w:bCs/>
        </w:rPr>
        <w:t xml:space="preserve"> demandes intéressant le droit international privé », dans D. Ferland et B. Emery, dir., </w:t>
      </w:r>
      <w:r w:rsidRPr="00DE4A9F" w:rsidDel="001C065B">
        <w:rPr>
          <w:rFonts w:cs="Times New Roman"/>
          <w:bCs/>
          <w:i/>
        </w:rPr>
        <w:t>Précis de procédure civile du Québec</w:t>
      </w:r>
      <w:r w:rsidRPr="00DE4A9F" w:rsidDel="001C065B">
        <w:rPr>
          <w:rFonts w:cs="Times New Roman"/>
          <w:bCs/>
        </w:rPr>
        <w:t xml:space="preserve"> (7</w:t>
      </w:r>
      <w:r w:rsidRPr="00DE4A9F" w:rsidDel="001C065B">
        <w:rPr>
          <w:rFonts w:cs="Times New Roman"/>
          <w:bCs/>
          <w:vertAlign w:val="superscript"/>
        </w:rPr>
        <w:t>e</w:t>
      </w:r>
      <w:r w:rsidRPr="00DE4A9F" w:rsidDel="001C065B">
        <w:rPr>
          <w:rFonts w:cs="Times New Roman"/>
          <w:bCs/>
        </w:rPr>
        <w:t xml:space="preserve"> éd. 2025), vol. 2, 389, par. </w:t>
      </w:r>
      <w:r w:rsidRPr="00DE4A9F" w:rsidDel="001C065B">
        <w:rPr>
          <w:rFonts w:cs="Times New Roman"/>
        </w:rPr>
        <w:t>2</w:t>
      </w:r>
      <w:r w:rsidRPr="00DE4A9F" w:rsidDel="001C065B">
        <w:rPr>
          <w:rFonts w:cs="Times New Roman"/>
        </w:rPr>
        <w:noBreakHyphen/>
        <w:t>9</w:t>
      </w:r>
      <w:r w:rsidRPr="00DE4A9F">
        <w:rPr>
          <w:rFonts w:cs="Times New Roman"/>
        </w:rPr>
        <w:t>5</w:t>
      </w:r>
      <w:r w:rsidRPr="00DE4A9F" w:rsidDel="001C065B">
        <w:rPr>
          <w:rFonts w:cs="Times New Roman"/>
        </w:rPr>
        <w:t>8)</w:t>
      </w:r>
      <w:r w:rsidRPr="00DE4A9F">
        <w:rPr>
          <w:rFonts w:cs="Times New Roman"/>
        </w:rPr>
        <w:t>.</w:t>
      </w:r>
    </w:p>
    <w:p w14:paraId="01F6FA37" w14:textId="77777777" w:rsidR="00DE4A9F" w:rsidRPr="00DE4A9F" w:rsidRDefault="00DE4A9F" w:rsidP="00DE4A9F">
      <w:pPr>
        <w:pStyle w:val="ParaNoNdepar-AltN"/>
        <w:rPr>
          <w:rFonts w:cs="Times New Roman"/>
        </w:rPr>
      </w:pPr>
      <w:r w:rsidRPr="00DE4A9F">
        <w:rPr>
          <w:rFonts w:cs="Times New Roman"/>
        </w:rPr>
        <w:t xml:space="preserve">Ivari avait l’obligation de signifier sa demande introductive d’instance à toute personne intéressée, et au premier chef à M. Imanpoorsaid, dont la personnalité juridique et tous les droits en découlant étaient affectés par le jugement en annulation. Si ivari croyait qu’il était vivant, elle aurait pu mettre en œuvre des moyens pour tenter de l’informer des procédures le concernant, d’autant plus que, conformément à l’art. 98 al. 2 </w:t>
      </w:r>
      <w:r w:rsidRPr="00DE4A9F">
        <w:rPr>
          <w:rFonts w:cs="Times New Roman"/>
          <w:i/>
        </w:rPr>
        <w:t>C.c.Q.</w:t>
      </w:r>
      <w:r w:rsidRPr="00DE4A9F">
        <w:rPr>
          <w:rFonts w:cs="Times New Roman"/>
        </w:rPr>
        <w:t xml:space="preserve">, les frais de la demande en annulation devaient en définitive être assumés </w:t>
      </w:r>
      <w:r w:rsidRPr="00DE4A9F">
        <w:rPr>
          <w:rFonts w:cs="Times New Roman"/>
        </w:rPr>
        <w:lastRenderedPageBreak/>
        <w:t xml:space="preserve">par M. Imanpoorsaid lui-même. Elle ne l’a pas fait, et ce défaut doit être souligné. L’absence de signification est par ailleurs surprenante, considérant qu’ivari avait engagé des avocats en Iran pour le retrouver et a affirmé en première instance avoir obtenu son numéro de téléphone. Il est difficile de comprendre pourquoi ivari n’a pas poursuivi ses efforts pour le localiser après avoir obtenu ces informations. </w:t>
      </w:r>
    </w:p>
    <w:p w14:paraId="7AE9B8D0" w14:textId="77777777" w:rsidR="00DE4A9F" w:rsidRPr="00DE4A9F" w:rsidRDefault="00DE4A9F" w:rsidP="00DE4A9F">
      <w:pPr>
        <w:pStyle w:val="ParaNoNdepar-AltN"/>
        <w:rPr>
          <w:rFonts w:cs="Times New Roman"/>
        </w:rPr>
      </w:pPr>
      <w:r w:rsidRPr="00DE4A9F">
        <w:rPr>
          <w:rFonts w:cs="Times New Roman"/>
        </w:rPr>
        <w:t>Contrairement à ce qu’avance ivari, il ne s’agit pas d’une situation où le fond doit primer sur la forme. Plaider le défaut de signification ne constitue pas de la « procédurite », qualificatif utilisé par la juge de première instance, c’est-à-dire une application tatillonne des règles de procédures qui mènerait à un résultat contraire au bon sens. Le</w:t>
      </w:r>
      <w:r w:rsidRPr="00DE4A9F">
        <w:rPr>
          <w:rFonts w:cs="Times New Roman"/>
          <w:i/>
        </w:rPr>
        <w:t xml:space="preserve"> Code de procédure civile</w:t>
      </w:r>
      <w:r w:rsidRPr="00DE4A9F">
        <w:rPr>
          <w:rFonts w:cs="Times New Roman"/>
        </w:rPr>
        <w:t xml:space="preserve"> renferme des exigences d’ordre public relatives à l’équité et il serait incorrect de banaliser un manquement à ces normes sous prétexte d’une irrégularité de forme — qui n’en est pas une</w:t>
      </w:r>
      <w:r w:rsidRPr="00DE4A9F">
        <w:rPr>
          <w:rFonts w:eastAsia="Times New Roman" w:cs="Times New Roman"/>
          <w:szCs w:val="20"/>
          <w:shd w:val="clear" w:color="auto" w:fill="FFFFFF"/>
          <w:lang w:eastAsia="en-CA"/>
        </w:rPr>
        <w:t xml:space="preserve"> </w:t>
      </w:r>
      <w:r w:rsidRPr="00DE4A9F">
        <w:rPr>
          <w:rFonts w:cs="Times New Roman"/>
        </w:rPr>
        <w:t xml:space="preserve">— ou sous le couvert du principe de proportionnalité. Toutefois, j’estime que, faute de préjudice pour M. Imanpoorsaid, ce manquement n’a pas porté atteinte à l’intégrité du processus judiciaire. En conséquence, ce défaut ne devrait pas entraîner la nullité du jugement de première instance et de l’arrêt de la Cour d’appel. </w:t>
      </w:r>
    </w:p>
    <w:p w14:paraId="7364038A" w14:textId="77777777" w:rsidR="00DE4A9F" w:rsidRPr="00DE4A9F" w:rsidRDefault="00DE4A9F" w:rsidP="00DE4A9F">
      <w:pPr>
        <w:pStyle w:val="ParaNoNdepar-AltN"/>
        <w:rPr>
          <w:rFonts w:cs="Times New Roman"/>
        </w:rPr>
      </w:pPr>
      <w:r w:rsidRPr="00DE4A9F">
        <w:rPr>
          <w:rFonts w:cs="Times New Roman"/>
        </w:rPr>
        <w:t>Les exigences procédurales doivent être contextualisées à la lumière des droits substantiels qu’elles protègent et qui les justifient (</w:t>
      </w:r>
      <w:r w:rsidRPr="00DE4A9F">
        <w:rPr>
          <w:rFonts w:cs="Times New Roman"/>
          <w:i/>
        </w:rPr>
        <w:t>Conseil Mohawk de Kanesatake c. Sylvestre</w:t>
      </w:r>
      <w:r w:rsidRPr="00DE4A9F">
        <w:rPr>
          <w:rFonts w:cs="Times New Roman"/>
        </w:rPr>
        <w:t xml:space="preserve">, 2025 CSC 30, par. 71-72). Dans la majorité des cas, le défaut de donner à une partie l’occasion de présenter ses arguments constituera une entorse si grave à la règle </w:t>
      </w:r>
      <w:r w:rsidRPr="00DE4A9F">
        <w:rPr>
          <w:rFonts w:cs="Times New Roman"/>
          <w:i/>
        </w:rPr>
        <w:t>audi alteram partem</w:t>
      </w:r>
      <w:r w:rsidRPr="00DE4A9F">
        <w:rPr>
          <w:rFonts w:cs="Times New Roman"/>
        </w:rPr>
        <w:t xml:space="preserve"> qu’il portera nécessairement atteinte à l’intégrité </w:t>
      </w:r>
      <w:r w:rsidRPr="00DE4A9F">
        <w:rPr>
          <w:rFonts w:cs="Times New Roman"/>
        </w:rPr>
        <w:lastRenderedPageBreak/>
        <w:t xml:space="preserve">du processus judiciaire. En l’espèce, cependant, les impératifs relatifs à la préservation du débat contradictoire ont moins d’acuité. Une demande en annulation d’un jugement déclaratif de décès, une procédure normalement non contentieuse, constitue une exception par rapport aux procédures judiciaires habituelles en ce sens qu’elle ne requiert pas que la personne déclarée décédée fasse valoir ses observations ou ses prétentions. La preuve du retour d’une personne déclarée décédée suffit pour obtenir, conformément à l’art. 98 </w:t>
      </w:r>
      <w:r w:rsidRPr="00DE4A9F">
        <w:rPr>
          <w:rFonts w:cs="Times New Roman"/>
          <w:i/>
        </w:rPr>
        <w:t>C.c.Q.</w:t>
      </w:r>
      <w:r w:rsidRPr="00DE4A9F">
        <w:rPr>
          <w:rFonts w:cs="Times New Roman"/>
        </w:rPr>
        <w:t>, l’annulation du jugement déclaratif de décès. La présence du « revenant » à l’audience facilite simplement cette preuve, mais ne modifie pas le résultat. En l’espèce, aucun moyen avancé par M. Imanpoorsaid n’aurait pu changer l’issue du recours. Ivari n’avait aucun intérêt à ne pas lui signifier sa procédure, et n’a tiré aucun avantage de cette omission. De manière paradoxale, l’absence de signification a même été avantageuse pour M</w:t>
      </w:r>
      <w:r w:rsidRPr="00DE4A9F">
        <w:rPr>
          <w:rFonts w:cs="Times New Roman"/>
          <w:vertAlign w:val="superscript"/>
        </w:rPr>
        <w:t>me</w:t>
      </w:r>
      <w:r w:rsidRPr="00DE4A9F">
        <w:rPr>
          <w:rFonts w:cs="Times New Roman"/>
        </w:rPr>
        <w:t xml:space="preserve"> Riddle, car la présence de la personne déclarée décédée aurait renforcé la preuve d’ivari de son existence actuelle. L’absence de signification n’a donc pas causé de préjudice à M. Imanpoorsaid ni compromis plus généralement l’intégrité du processus judiciaire et ne saurait justifier le rejet du recours. </w:t>
      </w:r>
    </w:p>
    <w:p w14:paraId="5EE8BF57" w14:textId="77777777" w:rsidR="00DE4A9F" w:rsidRPr="00DE4A9F" w:rsidRDefault="00DE4A9F" w:rsidP="00DE4A9F">
      <w:pPr>
        <w:pStyle w:val="ParaNoNdepar-AltN"/>
        <w:rPr>
          <w:rFonts w:cs="Times New Roman"/>
        </w:rPr>
      </w:pPr>
      <w:r w:rsidRPr="00DE4A9F">
        <w:rPr>
          <w:rFonts w:cs="Times New Roman"/>
        </w:rPr>
        <w:t>En conséquence, comme a conclu la Cour d’appel, bien qu’il eût été préférable et prudent de la part d’ivari de tenter de notifier la procédure à M. Imanpoorsaid, ce moyen ne peut justifier une intervention de notre Cour.</w:t>
      </w:r>
    </w:p>
    <w:p w14:paraId="22015056" w14:textId="77777777" w:rsidR="00DE4A9F" w:rsidRPr="00DE4A9F" w:rsidRDefault="00DE4A9F" w:rsidP="00DE4A9F">
      <w:pPr>
        <w:pStyle w:val="Title2LevelTitre2Niveau"/>
        <w:numPr>
          <w:ilvl w:val="1"/>
          <w:numId w:val="8"/>
        </w:numPr>
        <w:rPr>
          <w:rFonts w:cs="Times New Roman"/>
          <w:lang w:val="fr-CA"/>
        </w:rPr>
      </w:pPr>
      <w:bookmarkStart w:id="10" w:name="_Hlk225508725"/>
      <w:bookmarkEnd w:id="9"/>
      <w:r w:rsidRPr="00DE4A9F">
        <w:rPr>
          <w:rFonts w:cs="Times New Roman"/>
          <w:lang w:val="fr-CA"/>
        </w:rPr>
        <w:t>Quel degré de preuve incombe à celui qui désire prouver le retour d’une personne déclarée décédée?</w:t>
      </w:r>
    </w:p>
    <w:p w14:paraId="2773C404" w14:textId="77777777" w:rsidR="00DE4A9F" w:rsidRPr="00DE4A9F" w:rsidRDefault="00DE4A9F" w:rsidP="00DE4A9F">
      <w:pPr>
        <w:pStyle w:val="ParaNoNdepar-AltN"/>
        <w:rPr>
          <w:rFonts w:cs="Times New Roman"/>
        </w:rPr>
      </w:pPr>
      <w:r w:rsidRPr="00DE4A9F">
        <w:rPr>
          <w:rFonts w:cs="Times New Roman"/>
        </w:rPr>
        <w:lastRenderedPageBreak/>
        <w:t xml:space="preserve">Dans un second temps, notre Cour doit déterminer si la juge de première instance a commis une erreur de droit en considérant que la notion de « retour » de la personne déclarée décédée à l’art. 98 </w:t>
      </w:r>
      <w:r w:rsidRPr="00DE4A9F">
        <w:rPr>
          <w:rFonts w:cs="Times New Roman"/>
          <w:i/>
        </w:rPr>
        <w:t>C.c.Q.</w:t>
      </w:r>
      <w:r w:rsidRPr="00DE4A9F">
        <w:rPr>
          <w:rFonts w:cs="Times New Roman"/>
        </w:rPr>
        <w:t xml:space="preserve"> </w:t>
      </w:r>
      <w:r w:rsidRPr="00DE4A9F">
        <w:rPr>
          <w:rFonts w:cs="Times New Roman"/>
          <w:iCs/>
        </w:rPr>
        <w:t>peut s’interpréter comme visant l’existence actuelle de la personne</w:t>
      </w:r>
      <w:r w:rsidRPr="00DE4A9F">
        <w:rPr>
          <w:rFonts w:cs="Times New Roman"/>
        </w:rPr>
        <w:t xml:space="preserve">, et si elle a appliqué la norme de preuve adéquate pour annuler le jugement déclaratif du décès de M. Imanpoorsaid. </w:t>
      </w:r>
    </w:p>
    <w:p w14:paraId="1F339FF4" w14:textId="77777777" w:rsidR="00DE4A9F" w:rsidRPr="00DE4A9F" w:rsidRDefault="00DE4A9F" w:rsidP="00DE4A9F">
      <w:pPr>
        <w:pStyle w:val="ParaNoNdepar-AltN"/>
        <w:rPr>
          <w:rFonts w:cs="Times New Roman"/>
        </w:rPr>
      </w:pPr>
      <w:r w:rsidRPr="00DE4A9F">
        <w:rPr>
          <w:rFonts w:cs="Times New Roman"/>
        </w:rPr>
        <w:t xml:space="preserve">Notre Cour a eu l’occasion il y a quelques années d’explorer les origines et la nature du régime moderne de l’absence en droit civil québécois dans l’arrêt </w:t>
      </w:r>
      <w:bookmarkStart w:id="11" w:name="_Hlk222233688"/>
      <w:r w:rsidRPr="00DE4A9F">
        <w:rPr>
          <w:rFonts w:cs="Times New Roman"/>
          <w:i/>
        </w:rPr>
        <w:t>Threlfall c. Carleton University</w:t>
      </w:r>
      <w:r w:rsidRPr="00DE4A9F">
        <w:rPr>
          <w:rFonts w:cs="Times New Roman"/>
        </w:rPr>
        <w:t>, 2019 CSC 50, [2019] 3 R.C.S. 726</w:t>
      </w:r>
      <w:bookmarkEnd w:id="11"/>
      <w:r w:rsidRPr="00DE4A9F">
        <w:rPr>
          <w:rFonts w:cs="Times New Roman"/>
        </w:rPr>
        <w:t>.</w:t>
      </w:r>
      <w:r w:rsidRPr="00DE4A9F">
        <w:rPr>
          <w:rFonts w:cs="Times New Roman"/>
          <w:i/>
        </w:rPr>
        <w:t xml:space="preserve"> </w:t>
      </w:r>
      <w:r w:rsidRPr="00DE4A9F">
        <w:rPr>
          <w:rFonts w:cs="Times New Roman"/>
        </w:rPr>
        <w:t xml:space="preserve">Néanmoins, la présente affaire soulève un autre aspect du régime de l’absence sur lequel notre Cour ne s’est pas encore penchée, soit le </w:t>
      </w:r>
      <w:r w:rsidRPr="00DE4A9F">
        <w:rPr>
          <w:rFonts w:cs="Times New Roman"/>
          <w:i/>
        </w:rPr>
        <w:t>retour</w:t>
      </w:r>
      <w:r w:rsidRPr="00DE4A9F">
        <w:rPr>
          <w:rFonts w:cs="Times New Roman"/>
        </w:rPr>
        <w:t xml:space="preserve"> de la personne déclarée décédée, tel qu’il est énoncé aux art. 97 à 101 </w:t>
      </w:r>
      <w:r w:rsidRPr="00DE4A9F">
        <w:rPr>
          <w:rFonts w:cs="Times New Roman"/>
          <w:i/>
        </w:rPr>
        <w:t>C.c.Q.</w:t>
      </w:r>
      <w:r w:rsidRPr="00DE4A9F">
        <w:rPr>
          <w:rFonts w:cs="Times New Roman"/>
        </w:rPr>
        <w:t xml:space="preserve">, dans un contexte </w:t>
      </w:r>
      <w:r w:rsidRPr="00DE4A9F">
        <w:rPr>
          <w:rFonts w:cs="Times New Roman"/>
          <w:bCs/>
        </w:rPr>
        <w:t xml:space="preserve">où </w:t>
      </w:r>
      <w:r w:rsidRPr="00DE4A9F">
        <w:rPr>
          <w:rFonts w:cs="Times New Roman"/>
        </w:rPr>
        <w:t xml:space="preserve">un jugement déclaratif de décès a déjà été prononcé. </w:t>
      </w:r>
    </w:p>
    <w:p w14:paraId="1A8C0698" w14:textId="77777777" w:rsidR="00DE4A9F" w:rsidRPr="00DE4A9F" w:rsidRDefault="00DE4A9F" w:rsidP="00DE4A9F">
      <w:pPr>
        <w:pStyle w:val="ParaNoNdepar-AltN"/>
        <w:rPr>
          <w:rFonts w:cs="Times New Roman"/>
        </w:rPr>
      </w:pPr>
      <w:r w:rsidRPr="00DE4A9F">
        <w:rPr>
          <w:rFonts w:cs="Times New Roman"/>
        </w:rPr>
        <w:t xml:space="preserve">Madame Riddle prétend que la notion de retour doit être interprétée restrictivement et qu’elle requiert la preuve certaine et incontestable de l’existence actuelle de la personne déclarée décédée. Cette notion doit être examinée à la lumière de l’impératif de certitude qui sous-tend le régime moderne de l’absence établi par le </w:t>
      </w:r>
      <w:r w:rsidRPr="00DE4A9F">
        <w:rPr>
          <w:rFonts w:cs="Times New Roman"/>
          <w:i/>
        </w:rPr>
        <w:t>Code civil du Québec</w:t>
      </w:r>
      <w:r w:rsidRPr="00DE4A9F">
        <w:rPr>
          <w:rFonts w:cs="Times New Roman"/>
        </w:rPr>
        <w:t>. La preuve du retour peut donc être établie soit par la présence physique de la personne déclarée décédée, soit par des présomptions graves, précises et concordantes qui attestent de sa vie. De simples « signes de vie » datant de plusieurs années ne suffisent pas à établir le retour de la personne déclarée décédée.</w:t>
      </w:r>
    </w:p>
    <w:p w14:paraId="08E5BC7B" w14:textId="77777777" w:rsidR="00DE4A9F" w:rsidRPr="00DE4A9F" w:rsidRDefault="00DE4A9F" w:rsidP="00DE4A9F">
      <w:pPr>
        <w:pStyle w:val="ParaNoNdepar-AltN"/>
        <w:rPr>
          <w:rFonts w:cs="Times New Roman"/>
        </w:rPr>
      </w:pPr>
      <w:r w:rsidRPr="00DE4A9F">
        <w:rPr>
          <w:rFonts w:cs="Times New Roman"/>
        </w:rPr>
        <w:lastRenderedPageBreak/>
        <w:t xml:space="preserve">Ivari soutient pour sa part que le </w:t>
      </w:r>
      <w:r w:rsidRPr="00DE4A9F">
        <w:rPr>
          <w:rFonts w:cs="Times New Roman"/>
          <w:i/>
        </w:rPr>
        <w:t>Code civil du Québec</w:t>
      </w:r>
      <w:r w:rsidRPr="00DE4A9F">
        <w:rPr>
          <w:rFonts w:cs="Times New Roman"/>
        </w:rPr>
        <w:t xml:space="preserve"> n’assujettit pas à une exigence particulière la preuve du retour de la personne déclarée décédée. Le jugement déclaratif de décès étant fondé sur une présomption simple, elle peut être repoussée par n’importe quelle preuve qui rend plus probable qu’improbable l’existence actuelle de la personne déclarée décédée. Exiger le retour physique de la personne, malgré une preuve de vie claire et convaincante, conduirait à des résultats absurdes et contraires à l’esprit du </w:t>
      </w:r>
      <w:r w:rsidRPr="00DE4A9F">
        <w:rPr>
          <w:rFonts w:cs="Times New Roman"/>
          <w:i/>
        </w:rPr>
        <w:t>Code civil du Québec</w:t>
      </w:r>
      <w:r w:rsidRPr="00DE4A9F">
        <w:rPr>
          <w:rFonts w:cs="Times New Roman"/>
        </w:rPr>
        <w:t>.</w:t>
      </w:r>
    </w:p>
    <w:p w14:paraId="707C6431" w14:textId="77777777" w:rsidR="00DE4A9F" w:rsidRPr="00DE4A9F" w:rsidRDefault="00DE4A9F" w:rsidP="00DE4A9F">
      <w:pPr>
        <w:pStyle w:val="ParaNoNdepar-AltN"/>
        <w:rPr>
          <w:rFonts w:cs="Times New Roman"/>
        </w:rPr>
      </w:pPr>
      <w:r w:rsidRPr="00DE4A9F">
        <w:rPr>
          <w:rFonts w:cs="Times New Roman"/>
        </w:rPr>
        <w:t>Ivari a raison. La notion de retour doit être interprétée largement comme s’entendant aussi de la réapparition de la personne déclarée décédée, où qu’elle se trouve dans le monde, et pas seulement du retour physique de celle-ci à son domicile. Je partage en conséquence l’interprétation de la juge de première instance et la Cour d’appel selon laquelle toute manifestation contemporaine de l’existence actuelle de la personne déclarée décédée peut réfuter la présomption de décès et permettre l’annulation du jugement déclaratif. J’estime également que la preuve de l’existence actuelle de la personne déclarée décédée doit convaincre le tribunal selon la prépondérance des probabilités. Il s’agit d’une norme exigeante, qui requiert une preuve claire et convaincante dans tous les cas, particulièrement lorsque les faits allégués paraissent improbables et que les conséquences en jeu sont sérieuses. Je considère que M</w:t>
      </w:r>
      <w:r w:rsidRPr="00DE4A9F">
        <w:rPr>
          <w:rFonts w:cs="Times New Roman"/>
          <w:vertAlign w:val="superscript"/>
        </w:rPr>
        <w:t>me</w:t>
      </w:r>
      <w:r w:rsidRPr="00DE4A9F">
        <w:rPr>
          <w:rFonts w:cs="Times New Roman"/>
        </w:rPr>
        <w:t xml:space="preserve"> Riddle fait fausse route lorsqu’elle affirme que le retour de l’absent exige d’établir sa réapparition certaine et impose un degré de preuve plus élevé que celui prescrit par le législateur. En l’espèce, la juge de première instance n’a commis </w:t>
      </w:r>
      <w:r w:rsidRPr="00DE4A9F">
        <w:rPr>
          <w:rFonts w:cs="Times New Roman"/>
        </w:rPr>
        <w:lastRenderedPageBreak/>
        <w:t xml:space="preserve">aucune erreur manifeste et déterminante dans l’évaluation de la preuve de l’existence actuelle de M. Imanpoorsaid justifiant une intervention de notre Cour. </w:t>
      </w:r>
    </w:p>
    <w:p w14:paraId="6F1C9DC4" w14:textId="77777777" w:rsidR="00DE4A9F" w:rsidRPr="00DE4A9F" w:rsidRDefault="00DE4A9F" w:rsidP="00DE4A9F">
      <w:pPr>
        <w:pStyle w:val="ParaNoNdepar-AltN"/>
        <w:tabs>
          <w:tab w:val="clear" w:pos="1152"/>
          <w:tab w:val="left" w:pos="1166"/>
        </w:tabs>
        <w:rPr>
          <w:rFonts w:cs="Times New Roman"/>
        </w:rPr>
      </w:pPr>
      <w:r w:rsidRPr="00DE4A9F">
        <w:rPr>
          <w:rFonts w:cs="Times New Roman"/>
        </w:rPr>
        <w:t>Mon analyse se déroulera en quatre temps. Je m’attarderai, dans un premier temps, à tracer les contours du régime juridique de l’absence et du jugement déclaratif de décès, à la lumière de ses principes sous-jacents et de son évolution. Cet aperçu me permettra, dans un second temps, d’interpréter la notion de retour. Je déterminerai ensuite, dans un troisième temps, en vertu de quelle norme de preuve le retour de l’absent déclaré décédé doit être prouvé. Finalement, je me pencherai, dans un quatrième temps, à la lumière du cadre d’analyse dégagé précédemment, sur la question de savoir si la juge de première instance a commis une erreur en concluant au retour de M. Imanpoorsaid et en annulant le jugement déclaratif de décès. Je rappelle que les prétentions de M</w:t>
      </w:r>
      <w:r w:rsidRPr="00DE4A9F">
        <w:rPr>
          <w:rFonts w:cs="Times New Roman"/>
          <w:vertAlign w:val="superscript"/>
        </w:rPr>
        <w:t>me</w:t>
      </w:r>
      <w:r w:rsidRPr="00DE4A9F">
        <w:rPr>
          <w:rFonts w:cs="Times New Roman"/>
        </w:rPr>
        <w:t xml:space="preserve"> Riddle se limitent à des questions de droit. Il n’appartient donc pas à cette Cour de déterminer le poids à accorder aux divers éléments de preuve examinés par la juge (</w:t>
      </w:r>
      <w:r w:rsidRPr="00DE4A9F">
        <w:rPr>
          <w:rFonts w:cs="Times New Roman"/>
          <w:i/>
        </w:rPr>
        <w:t>Housen c. Nikolaisen</w:t>
      </w:r>
      <w:r w:rsidRPr="00DE4A9F">
        <w:rPr>
          <w:rFonts w:cs="Times New Roman"/>
        </w:rPr>
        <w:t>, 2002 CSC 33, [2002] 2 R.C.S. 235, par. 23).</w:t>
      </w:r>
    </w:p>
    <w:bookmarkEnd w:id="10"/>
    <w:p w14:paraId="37DD4CAF" w14:textId="77777777" w:rsidR="00DE4A9F" w:rsidRPr="00DE4A9F" w:rsidRDefault="00DE4A9F" w:rsidP="00DE4A9F">
      <w:pPr>
        <w:pStyle w:val="Title3LevelTitre3Niveau"/>
        <w:numPr>
          <w:ilvl w:val="2"/>
          <w:numId w:val="8"/>
        </w:numPr>
        <w:rPr>
          <w:rFonts w:cs="Times New Roman"/>
        </w:rPr>
      </w:pPr>
      <w:r w:rsidRPr="00DE4A9F">
        <w:rPr>
          <w:rFonts w:cs="Times New Roman"/>
        </w:rPr>
        <w:t>Régime de l’absence</w:t>
      </w:r>
    </w:p>
    <w:p w14:paraId="3FD39F61" w14:textId="77777777" w:rsidR="00DE4A9F" w:rsidRPr="00DE4A9F" w:rsidRDefault="00DE4A9F" w:rsidP="00DE4A9F">
      <w:pPr>
        <w:pStyle w:val="Title4LevelTitre4Niveau"/>
        <w:numPr>
          <w:ilvl w:val="3"/>
          <w:numId w:val="8"/>
        </w:numPr>
        <w:rPr>
          <w:rFonts w:cs="Times New Roman"/>
          <w:lang w:val="fr-CA"/>
        </w:rPr>
      </w:pPr>
      <w:bookmarkStart w:id="12" w:name="_Hlk225501902"/>
      <w:r w:rsidRPr="00DE4A9F">
        <w:rPr>
          <w:rFonts w:cs="Times New Roman"/>
          <w:lang w:val="fr-CA"/>
        </w:rPr>
        <w:t>Présomptions de vie et de décès</w:t>
      </w:r>
    </w:p>
    <w:p w14:paraId="349622DB" w14:textId="77777777" w:rsidR="00DE4A9F" w:rsidRPr="00DE4A9F" w:rsidRDefault="00DE4A9F" w:rsidP="00DE4A9F">
      <w:pPr>
        <w:pStyle w:val="ParaNoNdepar-AltN"/>
        <w:rPr>
          <w:rFonts w:cs="Times New Roman"/>
        </w:rPr>
      </w:pPr>
      <w:r w:rsidRPr="00DE4A9F">
        <w:rPr>
          <w:rFonts w:cs="Times New Roman"/>
        </w:rPr>
        <w:t xml:space="preserve">Le </w:t>
      </w:r>
      <w:r w:rsidRPr="00DE4A9F">
        <w:rPr>
          <w:rFonts w:cs="Times New Roman"/>
          <w:i/>
        </w:rPr>
        <w:t>Code civil du Québec</w:t>
      </w:r>
      <w:r w:rsidRPr="00DE4A9F">
        <w:rPr>
          <w:rFonts w:cs="Times New Roman"/>
        </w:rPr>
        <w:t xml:space="preserve"> organise, dans le chapitre « De l’absence et du décès », figurant au Livre premier intitulé « Des personnes », les conséquences juridiques de la disparition d’une personne domiciliée au Québec. L’absent est défini à l’art. 84 </w:t>
      </w:r>
      <w:r w:rsidRPr="00DE4A9F">
        <w:rPr>
          <w:rFonts w:cs="Times New Roman"/>
          <w:i/>
        </w:rPr>
        <w:t>C.c.Q.</w:t>
      </w:r>
      <w:r w:rsidRPr="00DE4A9F">
        <w:rPr>
          <w:rFonts w:cs="Times New Roman"/>
        </w:rPr>
        <w:t xml:space="preserve"> comme étant « celui qui, alors qu’il avait son domicile au Québec, a </w:t>
      </w:r>
      <w:r w:rsidRPr="00DE4A9F">
        <w:rPr>
          <w:rFonts w:cs="Times New Roman"/>
        </w:rPr>
        <w:lastRenderedPageBreak/>
        <w:t xml:space="preserve">cessé d’y paraître sans donner de nouvelles, et sans que l’on sache s’il vit encore ». </w:t>
      </w:r>
      <w:r w:rsidRPr="00DE4A9F">
        <w:rPr>
          <w:rFonts w:cs="Times New Roman"/>
          <w:bCs/>
        </w:rPr>
        <w:t xml:space="preserve">La réunion de ces quatre conditions (le domicile, la disparition, l’absence de nouvelles et le doute sur l’existence actuelle) entraîne deux conséquences : d’une part, elle permet, lorsque nécessaire, la nomination d’un tuteur chargé d’administrer les biens de l’absent (art. 86 </w:t>
      </w:r>
      <w:r w:rsidRPr="00DE4A9F">
        <w:rPr>
          <w:rFonts w:cs="Times New Roman"/>
          <w:bCs/>
          <w:i/>
        </w:rPr>
        <w:t>C.c.Q.</w:t>
      </w:r>
      <w:r w:rsidRPr="00DE4A9F">
        <w:rPr>
          <w:rFonts w:cs="Times New Roman"/>
          <w:bCs/>
        </w:rPr>
        <w:t xml:space="preserve">); d’autre part, elle fixe le point de départ de la période d’absence à partir duquel, après sept ans, on pourra obtenir un jugement déclaratif de décès en vertu de l’art. 92 </w:t>
      </w:r>
      <w:r w:rsidRPr="00DE4A9F">
        <w:rPr>
          <w:rFonts w:cs="Times New Roman"/>
          <w:bCs/>
          <w:i/>
        </w:rPr>
        <w:t>C.c.Q.</w:t>
      </w:r>
    </w:p>
    <w:p w14:paraId="7EC4047F" w14:textId="77777777" w:rsidR="00DE4A9F" w:rsidRPr="00DE4A9F" w:rsidRDefault="00DE4A9F" w:rsidP="00DE4A9F">
      <w:pPr>
        <w:pStyle w:val="ParaNoNdepar-AltN"/>
        <w:rPr>
          <w:rFonts w:cs="Times New Roman"/>
        </w:rPr>
      </w:pPr>
      <w:r w:rsidRPr="00DE4A9F">
        <w:rPr>
          <w:rFonts w:cs="Times New Roman"/>
        </w:rPr>
        <w:t xml:space="preserve">Ce chapitre couvre ainsi la situation des personnes qui s’absentent sans crier gare et dont l’existence actuelle est incertaine, de même que celle des personnes dont les circonstances de leur disparition rendent leur décès presque certain, sans qu’il ne soit toutefois possible de les retrouver ou d’identifier leur corps. C’est le cas notamment des naufragés disparus en mer ou des victimes d’un cataclysme naturel, d’une catastrophe aérienne ou d’un conflit armé (D. Goubau, </w:t>
      </w:r>
      <w:r w:rsidRPr="00DE4A9F">
        <w:rPr>
          <w:rFonts w:cs="Times New Roman"/>
          <w:i/>
          <w:iCs/>
        </w:rPr>
        <w:t xml:space="preserve">Le droit des personnes physiques </w:t>
      </w:r>
      <w:r w:rsidRPr="00DE4A9F">
        <w:rPr>
          <w:rFonts w:cs="Times New Roman"/>
        </w:rPr>
        <w:t>(7</w:t>
      </w:r>
      <w:r w:rsidRPr="00DE4A9F">
        <w:rPr>
          <w:rFonts w:cs="Times New Roman"/>
          <w:vertAlign w:val="superscript"/>
        </w:rPr>
        <w:t>e</w:t>
      </w:r>
      <w:r w:rsidRPr="00DE4A9F">
        <w:rPr>
          <w:rFonts w:cs="Times New Roman"/>
        </w:rPr>
        <w:t xml:space="preserve"> éd. 2022), par. 38). Le </w:t>
      </w:r>
      <w:r w:rsidRPr="00DE4A9F">
        <w:rPr>
          <w:rFonts w:cs="Times New Roman"/>
          <w:i/>
        </w:rPr>
        <w:t>Code civil du Québec</w:t>
      </w:r>
      <w:r w:rsidRPr="00DE4A9F">
        <w:rPr>
          <w:rFonts w:cs="Times New Roman"/>
        </w:rPr>
        <w:t xml:space="preserve"> prévoit également la situation des personnes absentes contre leur gré par suite d’un cas de force majeure (comme un enlèvement ou une personne retenue à l’étranger) et pour qui un tuteur peut être nommé, bien que leur situation ne puisse être assimilée à celle des absents, puisqu’aucun doute ne plane sur leur existence actuelle (art. 91 </w:t>
      </w:r>
      <w:r w:rsidRPr="00DE4A9F">
        <w:rPr>
          <w:rFonts w:cs="Times New Roman"/>
          <w:i/>
        </w:rPr>
        <w:t>C.c.Q.</w:t>
      </w:r>
      <w:r w:rsidRPr="00DE4A9F">
        <w:rPr>
          <w:rFonts w:cs="Times New Roman"/>
        </w:rPr>
        <w:t xml:space="preserve">). </w:t>
      </w:r>
    </w:p>
    <w:p w14:paraId="40ED6D47" w14:textId="77777777" w:rsidR="00DE4A9F" w:rsidRPr="00DE4A9F" w:rsidRDefault="00DE4A9F" w:rsidP="00DE4A9F">
      <w:pPr>
        <w:pStyle w:val="ParaNoNdepar-AltN"/>
        <w:rPr>
          <w:rFonts w:cs="Times New Roman"/>
        </w:rPr>
      </w:pPr>
      <w:r w:rsidRPr="00DE4A9F">
        <w:rPr>
          <w:rFonts w:cs="Times New Roman"/>
        </w:rPr>
        <w:t>Le régime de l’absence se divise en deux phases, fondées sur l’écoulement du temps. Cette organisation fait en sorte que l’incertitude sur la vie de l’absent ne perdure pas indéfiniment (</w:t>
      </w:r>
      <w:r w:rsidRPr="00DE4A9F">
        <w:rPr>
          <w:rFonts w:cs="Times New Roman"/>
          <w:i/>
        </w:rPr>
        <w:t>Threlfall</w:t>
      </w:r>
      <w:r w:rsidRPr="00DE4A9F">
        <w:rPr>
          <w:rFonts w:cs="Times New Roman"/>
        </w:rPr>
        <w:t xml:space="preserve">, par. 61; É. Cloutier, « Origines et évolution du </w:t>
      </w:r>
      <w:r w:rsidRPr="00DE4A9F">
        <w:rPr>
          <w:rFonts w:cs="Times New Roman"/>
        </w:rPr>
        <w:lastRenderedPageBreak/>
        <w:t>droit québécois de l’absence : de l’existence incertaine aux présomptions de vie et de mort » (2017), 63 </w:t>
      </w:r>
      <w:r w:rsidRPr="00DE4A9F">
        <w:rPr>
          <w:rFonts w:cs="Times New Roman"/>
          <w:i/>
          <w:iCs/>
        </w:rPr>
        <w:t>R.D. McGill </w:t>
      </w:r>
      <w:r w:rsidRPr="00DE4A9F">
        <w:rPr>
          <w:rFonts w:cs="Times New Roman"/>
        </w:rPr>
        <w:t xml:space="preserve">247, p. 276). Dans un premier temps, l’existence actuelle de l’absent est présumée durant les sept années qui suivent sa disparition, à moins que le décès de celui-ci puisse être tenu pour certain avant l’expiration de ce délai (art. 85 et 92 al. 2 </w:t>
      </w:r>
      <w:r w:rsidRPr="00DE4A9F">
        <w:rPr>
          <w:rFonts w:cs="Times New Roman"/>
          <w:i/>
        </w:rPr>
        <w:t>C.c.Q</w:t>
      </w:r>
      <w:r w:rsidRPr="00DE4A9F">
        <w:rPr>
          <w:rFonts w:cs="Times New Roman"/>
        </w:rPr>
        <w:t>.). Ainsi, si la dépouille est par exemple retrouvée dans les sept années suivant la disparition, la présomption de vie est repoussée rétroactivement à la date du décès et le directeur de l’état civil peut dresser un acte de décès (</w:t>
      </w:r>
      <w:r w:rsidRPr="00DE4A9F">
        <w:rPr>
          <w:rFonts w:cs="Times New Roman"/>
          <w:i/>
        </w:rPr>
        <w:t>Threlfall</w:t>
      </w:r>
      <w:r w:rsidRPr="00DE4A9F">
        <w:rPr>
          <w:rFonts w:cs="Times New Roman"/>
        </w:rPr>
        <w:t xml:space="preserve">, par. 46). Dans l’intervalle, l’absent conserve sa personnalité juridique de même que ses droits, et demeure tenu à l’exécution de ses obligations, par l’entremise de son tuteur ou de la personne chargée d’administrer ses biens (art. 86 </w:t>
      </w:r>
      <w:r w:rsidRPr="00DE4A9F">
        <w:rPr>
          <w:rFonts w:cs="Times New Roman"/>
          <w:i/>
        </w:rPr>
        <w:t>C.c.Q.</w:t>
      </w:r>
      <w:r w:rsidRPr="00DE4A9F">
        <w:rPr>
          <w:rFonts w:cs="Times New Roman"/>
        </w:rPr>
        <w:t xml:space="preserve">; </w:t>
      </w:r>
      <w:r w:rsidRPr="00DE4A9F">
        <w:rPr>
          <w:rFonts w:cs="Times New Roman"/>
          <w:i/>
        </w:rPr>
        <w:t>Threlfall</w:t>
      </w:r>
      <w:r w:rsidRPr="00DE4A9F">
        <w:rPr>
          <w:rFonts w:cs="Times New Roman"/>
        </w:rPr>
        <w:t>, par. 30). L’absent peut également « succéder et acquérir des droits » (</w:t>
      </w:r>
      <w:r w:rsidRPr="00DE4A9F">
        <w:rPr>
          <w:rFonts w:cs="Times New Roman"/>
          <w:i/>
          <w:iCs/>
        </w:rPr>
        <w:t>Commentaires du ministre de la Justice</w:t>
      </w:r>
      <w:r w:rsidRPr="00DE4A9F">
        <w:rPr>
          <w:rFonts w:cs="Times New Roman"/>
          <w:iCs/>
        </w:rPr>
        <w:t xml:space="preserve">, t. I, </w:t>
      </w:r>
      <w:r w:rsidRPr="00DE4A9F">
        <w:rPr>
          <w:rFonts w:cs="Times New Roman"/>
          <w:i/>
          <w:iCs/>
        </w:rPr>
        <w:t>Le Code civil du Québec — Un mouvement de société</w:t>
      </w:r>
      <w:r w:rsidRPr="00DE4A9F">
        <w:rPr>
          <w:rFonts w:cs="Times New Roman"/>
          <w:iCs/>
        </w:rPr>
        <w:t xml:space="preserve"> (1993)</w:t>
      </w:r>
      <w:r w:rsidRPr="00DE4A9F">
        <w:rPr>
          <w:rFonts w:cs="Times New Roman"/>
        </w:rPr>
        <w:t xml:space="preserve">, p. 66; voir aussi l’art. 617 </w:t>
      </w:r>
      <w:r w:rsidRPr="00DE4A9F">
        <w:rPr>
          <w:rFonts w:cs="Times New Roman"/>
          <w:i/>
        </w:rPr>
        <w:t>C.c.Q.</w:t>
      </w:r>
      <w:r w:rsidRPr="00DE4A9F">
        <w:rPr>
          <w:rFonts w:cs="Times New Roman"/>
        </w:rPr>
        <w:t xml:space="preserve">; Goubau, par. 41; M. Ouellette, « Livre premier : Des personnes », dans </w:t>
      </w:r>
      <w:r w:rsidRPr="00DE4A9F">
        <w:rPr>
          <w:rFonts w:cs="Times New Roman"/>
          <w:i/>
          <w:iCs/>
        </w:rPr>
        <w:t>La réforme du Code civil</w:t>
      </w:r>
      <w:r w:rsidRPr="00DE4A9F">
        <w:rPr>
          <w:rFonts w:cs="Times New Roman"/>
        </w:rPr>
        <w:t xml:space="preserve">, t. 1, </w:t>
      </w:r>
      <w:r w:rsidRPr="00DE4A9F">
        <w:rPr>
          <w:rFonts w:cs="Times New Roman"/>
          <w:i/>
          <w:iCs/>
        </w:rPr>
        <w:t xml:space="preserve">Personnes, successions, biens </w:t>
      </w:r>
      <w:r w:rsidRPr="00DE4A9F">
        <w:rPr>
          <w:rFonts w:cs="Times New Roman"/>
        </w:rPr>
        <w:t>(1993), 11, par. 168). L’absence ne dissout pas le mariage ou l’union civile, bien que le conjoint marié puisse demander le divorce après une séparation d’un an (</w:t>
      </w:r>
      <w:r w:rsidRPr="00DE4A9F">
        <w:rPr>
          <w:rFonts w:cs="Times New Roman"/>
          <w:i/>
          <w:iCs/>
        </w:rPr>
        <w:t>Loi sur le divorce</w:t>
      </w:r>
      <w:r w:rsidRPr="00DE4A9F">
        <w:rPr>
          <w:rFonts w:cs="Times New Roman"/>
        </w:rPr>
        <w:t>, L.R.C. 1985, c. 3 (2</w:t>
      </w:r>
      <w:r w:rsidRPr="00DE4A9F">
        <w:rPr>
          <w:rFonts w:cs="Times New Roman"/>
          <w:vertAlign w:val="superscript"/>
        </w:rPr>
        <w:t>e</w:t>
      </w:r>
      <w:r w:rsidRPr="00DE4A9F">
        <w:rPr>
          <w:rFonts w:cs="Times New Roman"/>
        </w:rPr>
        <w:t xml:space="preserve"> suppl.), art. 8(1) et (2)a)) et que le conjoint uni civilement puisse exiger la dissolution de l’union pour cause de séparation (art. </w:t>
      </w:r>
      <w:r w:rsidRPr="00DE4A9F">
        <w:rPr>
          <w:rFonts w:cs="Times New Roman"/>
          <w:bCs/>
        </w:rPr>
        <w:t xml:space="preserve">521.17 </w:t>
      </w:r>
      <w:r w:rsidRPr="00DE4A9F">
        <w:rPr>
          <w:rFonts w:cs="Times New Roman"/>
          <w:i/>
        </w:rPr>
        <w:t>C.c.Q.</w:t>
      </w:r>
      <w:r w:rsidRPr="00DE4A9F">
        <w:rPr>
          <w:rFonts w:cs="Times New Roman"/>
        </w:rPr>
        <w:t>) (Goubau, par. 41; Cloutier, p. 277).</w:t>
      </w:r>
    </w:p>
    <w:p w14:paraId="6F86216B" w14:textId="77777777" w:rsidR="00DE4A9F" w:rsidRPr="00DE4A9F" w:rsidRDefault="00DE4A9F" w:rsidP="00DE4A9F">
      <w:pPr>
        <w:pStyle w:val="ParaNoNdepar-AltN"/>
        <w:rPr>
          <w:rFonts w:cs="Times New Roman"/>
        </w:rPr>
      </w:pPr>
      <w:r w:rsidRPr="00DE4A9F">
        <w:rPr>
          <w:rFonts w:cs="Times New Roman"/>
        </w:rPr>
        <w:t xml:space="preserve">Dans un deuxième temps, à l’issue des sept années d’absence, la présomption de vie prend fin. Toute personne intéressée peut alors s’adresser à un tribunal pour demander un jugement déclaratif de décès, décès dont la date est fixée à </w:t>
      </w:r>
      <w:r w:rsidRPr="00DE4A9F">
        <w:rPr>
          <w:rFonts w:cs="Times New Roman"/>
        </w:rPr>
        <w:lastRenderedPageBreak/>
        <w:t xml:space="preserve">sept ans après le jour de la disparition (art. 92 al. 1 </w:t>
      </w:r>
      <w:r w:rsidRPr="00DE4A9F">
        <w:rPr>
          <w:rFonts w:cs="Times New Roman"/>
          <w:i/>
        </w:rPr>
        <w:t>C.c.Q.</w:t>
      </w:r>
      <w:r w:rsidRPr="00DE4A9F">
        <w:rPr>
          <w:rFonts w:cs="Times New Roman"/>
        </w:rPr>
        <w:t xml:space="preserve">). Le jugement peut également être prononcé, de manière exceptionnelle, avant l’expiration du délai de sept ans dans le cas où la mort du disparu peut être tenue pour certaine (art. 92 al 2. </w:t>
      </w:r>
      <w:r w:rsidRPr="00DE4A9F">
        <w:rPr>
          <w:rFonts w:cs="Times New Roman"/>
          <w:i/>
        </w:rPr>
        <w:t>C.c.Q.</w:t>
      </w:r>
      <w:r w:rsidRPr="00DE4A9F">
        <w:rPr>
          <w:rFonts w:cs="Times New Roman"/>
        </w:rPr>
        <w:t xml:space="preserve">). Le jugement déclaratif de décès produit les mêmes effets que le décès (art. 95 </w:t>
      </w:r>
      <w:r w:rsidRPr="00DE4A9F">
        <w:rPr>
          <w:rFonts w:cs="Times New Roman"/>
          <w:i/>
        </w:rPr>
        <w:t>C.c.Q.</w:t>
      </w:r>
      <w:r w:rsidRPr="00DE4A9F">
        <w:rPr>
          <w:rFonts w:cs="Times New Roman"/>
        </w:rPr>
        <w:t xml:space="preserve">); la succession s’ouvre, les régimes de retraite sont liquidés, les liens et les régimes matrimoniaux, de même que le patrimoine d’union parentale, sont dissous et le capital assuré des assurances peut être versé (Goubau, par. 59). Une fois le jugement déclaratif de décès prononcé, le </w:t>
      </w:r>
      <w:r w:rsidRPr="00DE4A9F">
        <w:rPr>
          <w:rFonts w:cs="Times New Roman"/>
          <w:i/>
        </w:rPr>
        <w:t>Code civil du Québec</w:t>
      </w:r>
      <w:r w:rsidRPr="00DE4A9F">
        <w:rPr>
          <w:rFonts w:cs="Times New Roman"/>
        </w:rPr>
        <w:t xml:space="preserve"> ne permet d’écarter la date inscrite à l’acte de décès que lorsque la date réelle du décès influe sur la date de la dissolution du régime matrimonial ou d’union civile ou l’ouverture du droit au partage du patrimoine d’union parentale et la date de l’ouverture de la succession, ou lors du retour de la personne déclarée décédée (art. 96 à 101 </w:t>
      </w:r>
      <w:r w:rsidRPr="00DE4A9F">
        <w:rPr>
          <w:rFonts w:cs="Times New Roman"/>
          <w:i/>
        </w:rPr>
        <w:t>C.c.Q.</w:t>
      </w:r>
      <w:r w:rsidRPr="00DE4A9F">
        <w:rPr>
          <w:rFonts w:cs="Times New Roman"/>
        </w:rPr>
        <w:t xml:space="preserve">; </w:t>
      </w:r>
      <w:r w:rsidRPr="00DE4A9F">
        <w:rPr>
          <w:rFonts w:cs="Times New Roman"/>
          <w:i/>
        </w:rPr>
        <w:t>Threlfall</w:t>
      </w:r>
      <w:r w:rsidRPr="00DE4A9F">
        <w:rPr>
          <w:rFonts w:cs="Times New Roman"/>
        </w:rPr>
        <w:t>, par. 34 et 54, Goubau, par. 60</w:t>
      </w:r>
      <w:r w:rsidRPr="00DE4A9F">
        <w:rPr>
          <w:rFonts w:cs="Times New Roman"/>
        </w:rPr>
        <w:noBreakHyphen/>
        <w:t xml:space="preserve">69; É. Gascon et J. Gelfusa, </w:t>
      </w:r>
      <w:r w:rsidRPr="00DE4A9F">
        <w:rPr>
          <w:rFonts w:cs="Times New Roman"/>
          <w:iCs/>
        </w:rPr>
        <w:t>« Absence et décès »</w:t>
      </w:r>
      <w:r w:rsidRPr="00DE4A9F">
        <w:rPr>
          <w:rFonts w:cs="Times New Roman"/>
        </w:rPr>
        <w:t xml:space="preserve">, dans </w:t>
      </w:r>
      <w:r w:rsidRPr="00DE4A9F">
        <w:rPr>
          <w:rFonts w:cs="Times New Roman"/>
          <w:i/>
          <w:iCs/>
        </w:rPr>
        <w:t xml:space="preserve">JurisClasseur Québec — Collection Droit civil — Personnes et famille </w:t>
      </w:r>
      <w:r w:rsidRPr="00DE4A9F">
        <w:rPr>
          <w:rFonts w:cs="Times New Roman"/>
          <w:iCs/>
        </w:rPr>
        <w:t>(feuilles mobiles), fasc. 8</w:t>
      </w:r>
      <w:r w:rsidRPr="00DE4A9F">
        <w:rPr>
          <w:rFonts w:cs="Times New Roman"/>
        </w:rPr>
        <w:t>, n</w:t>
      </w:r>
      <w:r w:rsidRPr="00DE4A9F">
        <w:rPr>
          <w:rFonts w:cs="Times New Roman"/>
          <w:vertAlign w:val="superscript"/>
        </w:rPr>
        <w:t>os</w:t>
      </w:r>
      <w:r w:rsidRPr="00DE4A9F">
        <w:rPr>
          <w:rFonts w:cs="Times New Roman"/>
        </w:rPr>
        <w:t xml:space="preserve"> 20</w:t>
      </w:r>
      <w:r w:rsidRPr="00DE4A9F">
        <w:rPr>
          <w:rFonts w:cs="Times New Roman"/>
        </w:rPr>
        <w:noBreakHyphen/>
        <w:t>34).</w:t>
      </w:r>
    </w:p>
    <w:p w14:paraId="07BD03E7" w14:textId="77777777" w:rsidR="00DE4A9F" w:rsidRPr="00DE4A9F" w:rsidRDefault="00DE4A9F" w:rsidP="00DE4A9F">
      <w:pPr>
        <w:pStyle w:val="ParaNoNdepar-AltN"/>
        <w:rPr>
          <w:rFonts w:cs="Times New Roman"/>
        </w:rPr>
      </w:pPr>
      <w:r w:rsidRPr="00DE4A9F">
        <w:rPr>
          <w:rFonts w:cs="Times New Roman"/>
        </w:rPr>
        <w:t xml:space="preserve">Comme le rappelle notre Cour dans l’arrêt </w:t>
      </w:r>
      <w:r w:rsidRPr="00DE4A9F">
        <w:rPr>
          <w:rFonts w:cs="Times New Roman"/>
          <w:i/>
        </w:rPr>
        <w:t>Threlfall</w:t>
      </w:r>
      <w:r w:rsidRPr="00DE4A9F">
        <w:rPr>
          <w:rFonts w:cs="Times New Roman"/>
        </w:rPr>
        <w:t xml:space="preserve">, le jugement déclaratif de décès est une innovation du </w:t>
      </w:r>
      <w:r w:rsidRPr="00DE4A9F">
        <w:rPr>
          <w:rFonts w:cs="Times New Roman"/>
          <w:i/>
        </w:rPr>
        <w:t>Code civil du Québec</w:t>
      </w:r>
      <w:r w:rsidRPr="00DE4A9F">
        <w:rPr>
          <w:rFonts w:cs="Times New Roman"/>
        </w:rPr>
        <w:t xml:space="preserve">. Les dispositions sur l’absence rompent avec le régime qui existait en vertu du </w:t>
      </w:r>
      <w:r w:rsidRPr="00DE4A9F">
        <w:rPr>
          <w:rFonts w:cs="Times New Roman"/>
          <w:i/>
        </w:rPr>
        <w:t xml:space="preserve">Code civil du Bas-Canada </w:t>
      </w:r>
      <w:r w:rsidRPr="00DE4A9F">
        <w:rPr>
          <w:rFonts w:cs="Times New Roman"/>
        </w:rPr>
        <w:t>(« </w:t>
      </w:r>
      <w:r w:rsidRPr="00DE4A9F">
        <w:rPr>
          <w:rFonts w:cs="Times New Roman"/>
          <w:i/>
        </w:rPr>
        <w:t>C.c.B.-C.</w:t>
      </w:r>
      <w:r w:rsidRPr="00DE4A9F">
        <w:rPr>
          <w:rFonts w:cs="Times New Roman"/>
        </w:rPr>
        <w:t xml:space="preserve"> »), caractérisé par le spectre d’un retour toujours possible de l’absent et par le poids d’une incertitude perpétuelle sur son existence actuelle. Dans cette perspective, le </w:t>
      </w:r>
      <w:r w:rsidRPr="00DE4A9F">
        <w:rPr>
          <w:rFonts w:cs="Times New Roman"/>
          <w:i/>
        </w:rPr>
        <w:t>Code civil du Bas-Canada</w:t>
      </w:r>
      <w:r w:rsidRPr="00DE4A9F">
        <w:rPr>
          <w:rFonts w:cs="Times New Roman"/>
        </w:rPr>
        <w:t xml:space="preserve"> faisait primer la préservation des intérêts de l’absent et de ses contreparties sur ceux de ses héritiers présomptifs, laissés dans un état précaire pendant une longue période :</w:t>
      </w:r>
    </w:p>
    <w:p w14:paraId="794B7C79" w14:textId="77777777" w:rsidR="00DE4A9F" w:rsidRPr="00DE4A9F" w:rsidRDefault="00DE4A9F" w:rsidP="00DE4A9F">
      <w:pPr>
        <w:pStyle w:val="Citation-AltC"/>
      </w:pPr>
      <w:r w:rsidRPr="00DE4A9F">
        <w:lastRenderedPageBreak/>
        <w:t>Au Québec, le </w:t>
      </w:r>
      <w:r w:rsidRPr="00DE4A9F">
        <w:rPr>
          <w:i/>
          <w:iCs/>
        </w:rPr>
        <w:t>Code civil du Bas</w:t>
      </w:r>
      <w:r w:rsidRPr="00DE4A9F">
        <w:rPr>
          <w:i/>
          <w:iCs/>
        </w:rPr>
        <w:noBreakHyphen/>
        <w:t>Canada </w:t>
      </w:r>
      <w:r w:rsidRPr="00DE4A9F">
        <w:t>renfermait un régime régissant l’absence dès 1866. Ce régime s’inspirait dans une large mesure du modèle du </w:t>
      </w:r>
      <w:r w:rsidRPr="00DE4A9F">
        <w:rPr>
          <w:i/>
          <w:iCs/>
        </w:rPr>
        <w:t>Code Napoléon </w:t>
      </w:r>
      <w:r w:rsidRPr="00DE4A9F">
        <w:t>(Cloutier, p. 255 et 262; Commissaires chargés de codifier les lois du Bas</w:t>
      </w:r>
      <w:r w:rsidRPr="00DE4A9F">
        <w:noBreakHyphen/>
        <w:t>Canada en matières civiles, </w:t>
      </w:r>
      <w:r w:rsidRPr="00DE4A9F">
        <w:rPr>
          <w:i/>
          <w:iCs/>
        </w:rPr>
        <w:t>Code civil du Bas</w:t>
      </w:r>
      <w:r w:rsidRPr="00DE4A9F">
        <w:rPr>
          <w:i/>
          <w:iCs/>
        </w:rPr>
        <w:noBreakHyphen/>
        <w:t>Canada : Premier, Second et Troisième Rapports </w:t>
      </w:r>
      <w:r w:rsidRPr="00DE4A9F">
        <w:t>(1865), p. 167 et 169). Sous ce régime, l’existence continue d’un absent était considérée comme incertaine. En droit, l’absent n’était considéré ni vivant ni mort et il ne pouvait pas succéder. Après cinq années d’absence, les héritiers présomptifs de l’absent avaient droit de prendre possession provisoire des biens de l’absent. Cette possession provisoire était assortie de certaines limites inhérentes, vu son caractère incertain. Ce n’est qu’après 30 ans d’absence que les héritiers présomptifs se voyaient accorder la possession absolue des biens de l’absent, leur permettant ainsi de les aliéner ou de les hypothéquer (G. Brière, </w:t>
      </w:r>
      <w:r w:rsidRPr="00DE4A9F">
        <w:rPr>
          <w:i/>
          <w:iCs/>
        </w:rPr>
        <w:t>Traité de droit civil : Les successions </w:t>
      </w:r>
      <w:r w:rsidRPr="00DE4A9F">
        <w:t>(2</w:t>
      </w:r>
      <w:r w:rsidRPr="00DE4A9F">
        <w:rPr>
          <w:vertAlign w:val="superscript"/>
        </w:rPr>
        <w:t>e</w:t>
      </w:r>
      <w:r w:rsidRPr="00DE4A9F">
        <w:t> éd. 1994), par. 45; Deleury et Goubau, par. 71; H. Roch, </w:t>
      </w:r>
      <w:r w:rsidRPr="00DE4A9F">
        <w:rPr>
          <w:i/>
          <w:iCs/>
        </w:rPr>
        <w:t>L’absence </w:t>
      </w:r>
      <w:r w:rsidRPr="00DE4A9F">
        <w:t>(1951), p. 27</w:t>
      </w:r>
      <w:r w:rsidRPr="00DE4A9F">
        <w:noBreakHyphen/>
        <w:t>34; F. Langelier, </w:t>
      </w:r>
      <w:r w:rsidRPr="00DE4A9F">
        <w:rPr>
          <w:i/>
          <w:iCs/>
        </w:rPr>
        <w:t>Cours de droit civil de la province de Québec</w:t>
      </w:r>
      <w:r w:rsidRPr="00DE4A9F">
        <w:t>, t. 1 (1905), p. 200 et suiv.; G. Trudel, </w:t>
      </w:r>
      <w:r w:rsidRPr="00DE4A9F">
        <w:rPr>
          <w:i/>
          <w:iCs/>
        </w:rPr>
        <w:t>Traité de droit civil du Québec</w:t>
      </w:r>
      <w:r w:rsidRPr="00DE4A9F">
        <w:t>, t. 1 (1942), p. 310 et suiv.; Cloutier, p. 257</w:t>
      </w:r>
      <w:r w:rsidRPr="00DE4A9F">
        <w:noBreakHyphen/>
        <w:t>266).</w:t>
      </w:r>
    </w:p>
    <w:p w14:paraId="5FF319B4" w14:textId="77777777" w:rsidR="00DE4A9F" w:rsidRPr="00DE4A9F" w:rsidRDefault="00DE4A9F" w:rsidP="00DE4A9F">
      <w:pPr>
        <w:pStyle w:val="Citation-AltC"/>
      </w:pPr>
    </w:p>
    <w:p w14:paraId="0C2DF007" w14:textId="77777777" w:rsidR="00DE4A9F" w:rsidRPr="00DE4A9F" w:rsidRDefault="00DE4A9F" w:rsidP="00DE4A9F">
      <w:pPr>
        <w:pStyle w:val="Citation-AltC"/>
        <w:ind w:firstLine="274"/>
      </w:pPr>
      <w:r w:rsidRPr="00DE4A9F">
        <w:t>Le régime de l’absence du </w:t>
      </w:r>
      <w:r w:rsidRPr="00DE4A9F">
        <w:rPr>
          <w:i/>
          <w:iCs/>
        </w:rPr>
        <w:t>C.c.Q.</w:t>
      </w:r>
      <w:r w:rsidRPr="00DE4A9F">
        <w:t> marque un virage fondamental du droit québécois classique en la matière. L’absent n’est plus considéré comme n’étant ni vivant ni mort (Ministère de la Justice, </w:t>
      </w:r>
      <w:r w:rsidRPr="00DE4A9F">
        <w:rPr>
          <w:i/>
          <w:iCs/>
        </w:rPr>
        <w:t>Commentaires du ministre de la Justice</w:t>
      </w:r>
      <w:r w:rsidRPr="00DE4A9F">
        <w:t>, t. I,</w:t>
      </w:r>
      <w:r w:rsidRPr="00DE4A9F">
        <w:rPr>
          <w:i/>
          <w:iCs/>
        </w:rPr>
        <w:t> Le Code civil du Québec</w:t>
      </w:r>
      <w:r w:rsidRPr="00DE4A9F">
        <w:t> — </w:t>
      </w:r>
      <w:r w:rsidRPr="00DE4A9F">
        <w:rPr>
          <w:i/>
          <w:iCs/>
        </w:rPr>
        <w:t>Un mouvement de société </w:t>
      </w:r>
      <w:r w:rsidRPr="00DE4A9F">
        <w:t>(1993), p. 65</w:t>
      </w:r>
      <w:r w:rsidRPr="00DE4A9F">
        <w:noBreakHyphen/>
        <w:t>66). On ne fait pas non plus abstraction de l’absent si une succession s’ouvre (art. 617 al. 1 </w:t>
      </w:r>
      <w:r w:rsidRPr="00DE4A9F">
        <w:rPr>
          <w:i/>
          <w:iCs/>
        </w:rPr>
        <w:t>C.c.Q.</w:t>
      </w:r>
      <w:r w:rsidRPr="00DE4A9F">
        <w:t>; Deleury et Goubau, par. 41; Ouellette, par. 168; Cloutier, p. 276</w:t>
      </w:r>
      <w:r w:rsidRPr="00DE4A9F">
        <w:noBreakHyphen/>
        <w:t>277). L’absent est plutôt présumé vivant pendant sept années et il jouit de la pleine personnalité juridique durant cette période.</w:t>
      </w:r>
    </w:p>
    <w:p w14:paraId="595DE3A8" w14:textId="77777777" w:rsidR="00DE4A9F" w:rsidRPr="00DE4A9F" w:rsidRDefault="00DE4A9F" w:rsidP="00DE4A9F">
      <w:pPr>
        <w:pStyle w:val="Citation-AltC"/>
        <w:ind w:firstLine="274"/>
      </w:pPr>
    </w:p>
    <w:p w14:paraId="01F376D5" w14:textId="77777777" w:rsidR="00DE4A9F" w:rsidRPr="00DE4A9F" w:rsidRDefault="00DE4A9F" w:rsidP="00DE4A9F">
      <w:pPr>
        <w:pStyle w:val="Citation-AltC"/>
      </w:pPr>
      <w:r w:rsidRPr="00DE4A9F">
        <w:t>(</w:t>
      </w:r>
      <w:r w:rsidRPr="00DE4A9F">
        <w:rPr>
          <w:i/>
        </w:rPr>
        <w:t>Threlfall</w:t>
      </w:r>
      <w:r w:rsidRPr="00DE4A9F">
        <w:t>, par. 31-32)</w:t>
      </w:r>
    </w:p>
    <w:p w14:paraId="742271D6" w14:textId="77777777" w:rsidR="00DE4A9F" w:rsidRPr="00DE4A9F" w:rsidRDefault="00DE4A9F" w:rsidP="00DE4A9F">
      <w:pPr>
        <w:pStyle w:val="ParaNoNdepar-AltN"/>
        <w:rPr>
          <w:rFonts w:cs="Times New Roman"/>
        </w:rPr>
      </w:pPr>
      <w:r w:rsidRPr="00DE4A9F">
        <w:rPr>
          <w:rFonts w:cs="Times New Roman"/>
        </w:rPr>
        <w:t>Le législateur a voulu, par sa réforme, mettre fin à la situation créée par les effets quasi permanents — ou plutôt par l’absence d’effets</w:t>
      </w:r>
      <w:r w:rsidRPr="00DE4A9F">
        <w:rPr>
          <w:rFonts w:eastAsia="Times New Roman" w:cs="Times New Roman"/>
          <w:szCs w:val="20"/>
          <w:shd w:val="clear" w:color="auto" w:fill="FFFFFF"/>
          <w:lang w:eastAsia="en-CA"/>
        </w:rPr>
        <w:t xml:space="preserve"> </w:t>
      </w:r>
      <w:r w:rsidRPr="00DE4A9F">
        <w:rPr>
          <w:rFonts w:cs="Times New Roman"/>
        </w:rPr>
        <w:t xml:space="preserve">— de l’absence, en réduisant la durée requise pour ouvrir la succession de l’absent, et en permettant de déclarer le décès de l’absent. C’est ainsi que le droit québécois moderne de l’absence, s’inspirant du modèle allemand, privilégie « des solutions offrant un degré raisonnable de certitude dans les relations juridiques avec un disparu » (H. Corral Talciani et M. S. Rodriguez </w:t>
      </w:r>
      <w:r w:rsidRPr="00DE4A9F">
        <w:rPr>
          <w:rFonts w:cs="Times New Roman"/>
        </w:rPr>
        <w:lastRenderedPageBreak/>
        <w:t xml:space="preserve">Pinto, « Disparition de personnes et présomption de décès : observations de droit comparé » (2000), 52 </w:t>
      </w:r>
      <w:r w:rsidRPr="00DE4A9F">
        <w:rPr>
          <w:rFonts w:cs="Times New Roman"/>
          <w:i/>
          <w:iCs/>
        </w:rPr>
        <w:t xml:space="preserve">R.I.D.C. </w:t>
      </w:r>
      <w:r w:rsidRPr="00DE4A9F">
        <w:rPr>
          <w:rFonts w:cs="Times New Roman"/>
        </w:rPr>
        <w:t>553, p. 565).</w:t>
      </w:r>
    </w:p>
    <w:p w14:paraId="6876223E" w14:textId="77777777" w:rsidR="00DE4A9F" w:rsidRPr="00DE4A9F" w:rsidRDefault="00DE4A9F" w:rsidP="00DE4A9F">
      <w:pPr>
        <w:pStyle w:val="ParaNoNdepar-AltN"/>
        <w:rPr>
          <w:rFonts w:cs="Times New Roman"/>
        </w:rPr>
      </w:pPr>
      <w:r w:rsidRPr="00DE4A9F">
        <w:rPr>
          <w:rFonts w:cs="Times New Roman"/>
        </w:rPr>
        <w:t xml:space="preserve">Le </w:t>
      </w:r>
      <w:r w:rsidRPr="00DE4A9F">
        <w:rPr>
          <w:rFonts w:cs="Times New Roman"/>
          <w:i/>
        </w:rPr>
        <w:t>Code</w:t>
      </w:r>
      <w:r w:rsidRPr="00DE4A9F">
        <w:rPr>
          <w:rFonts w:cs="Times New Roman"/>
        </w:rPr>
        <w:t xml:space="preserve"> </w:t>
      </w:r>
      <w:r w:rsidRPr="00DE4A9F">
        <w:rPr>
          <w:rFonts w:cs="Times New Roman"/>
          <w:i/>
        </w:rPr>
        <w:t>civil du Bas-Canada</w:t>
      </w:r>
      <w:r w:rsidRPr="00DE4A9F">
        <w:rPr>
          <w:rFonts w:cs="Times New Roman"/>
        </w:rPr>
        <w:t xml:space="preserve"> prévoyait certes déjà, depuis l’adoption en 1969 de la </w:t>
      </w:r>
      <w:r w:rsidRPr="00DE4A9F">
        <w:rPr>
          <w:rFonts w:cs="Times New Roman"/>
          <w:i/>
        </w:rPr>
        <w:t>Loi concernant les jugements déclaratifs de décès</w:t>
      </w:r>
      <w:r w:rsidRPr="00DE4A9F">
        <w:rPr>
          <w:rFonts w:cs="Times New Roman"/>
        </w:rPr>
        <w:t xml:space="preserve">, L.Q. 1969, c. 79, qu’une personne pouvait être déclarée judiciairement décédée sous certaines conditions. Cette procédure demeurait cependant limitée aux véritables « disparu[s] », c’est-à-dire aux personnes dont la mort était presque certaine, mais à l’égard desquelles l’absence de dépouille ou la difficulté d’identifier celle-ci empêchait l’obtention d’un acte de sépulture (Cloutier, p. 267-268). </w:t>
      </w:r>
      <w:bookmarkStart w:id="13" w:name="_Hlk222234064"/>
      <w:r w:rsidRPr="00DE4A9F">
        <w:rPr>
          <w:rFonts w:cs="Times New Roman"/>
        </w:rPr>
        <w:t xml:space="preserve">Depuis la réforme du </w:t>
      </w:r>
      <w:r w:rsidRPr="00DE4A9F">
        <w:rPr>
          <w:rFonts w:cs="Times New Roman"/>
          <w:i/>
        </w:rPr>
        <w:t>Code civil du Québec</w:t>
      </w:r>
      <w:r w:rsidRPr="00DE4A9F">
        <w:rPr>
          <w:rFonts w:cs="Times New Roman"/>
        </w:rPr>
        <w:t>, l</w:t>
      </w:r>
      <w:bookmarkEnd w:id="13"/>
      <w:r w:rsidRPr="00DE4A9F">
        <w:rPr>
          <w:rFonts w:cs="Times New Roman"/>
        </w:rPr>
        <w:t xml:space="preserve">e jugement déclaratif de décès permet dorénavant de lever l’incertitude sur le sort de toutes les personnes dont on doute de l’existence actuelle, « même lorsqu’aucun événement nouveau ne vient ajouter un éclairage sur le sort de la personne disparue » (J. Auger, « Successible disparu : que faire? » (2009), 18:2 </w:t>
      </w:r>
      <w:r w:rsidRPr="00DE4A9F">
        <w:rPr>
          <w:rFonts w:cs="Times New Roman"/>
          <w:i/>
          <w:iCs/>
        </w:rPr>
        <w:t xml:space="preserve">Entracte </w:t>
      </w:r>
      <w:r w:rsidRPr="00DE4A9F">
        <w:rPr>
          <w:rFonts w:cs="Times New Roman"/>
          <w:iCs/>
        </w:rPr>
        <w:t>5</w:t>
      </w:r>
      <w:r w:rsidRPr="00DE4A9F">
        <w:rPr>
          <w:rFonts w:cs="Times New Roman"/>
        </w:rPr>
        <w:t xml:space="preserve">, p. 5). </w:t>
      </w:r>
    </w:p>
    <w:p w14:paraId="170C8CE7" w14:textId="77777777" w:rsidR="00DE4A9F" w:rsidRPr="00DE4A9F" w:rsidRDefault="00DE4A9F" w:rsidP="00DE4A9F">
      <w:pPr>
        <w:pStyle w:val="ParaNoNdepar-AltN"/>
        <w:rPr>
          <w:rFonts w:cs="Times New Roman"/>
        </w:rPr>
      </w:pPr>
      <w:r w:rsidRPr="00DE4A9F">
        <w:rPr>
          <w:rFonts w:cs="Times New Roman"/>
        </w:rPr>
        <w:t>Le jugement présume le décès de l’absent, il ne l’établit pas. Comme l’indique le juge en chef Fournier dans un jugement portant sur la demande de M</w:t>
      </w:r>
      <w:r w:rsidRPr="00DE4A9F">
        <w:rPr>
          <w:rFonts w:cs="Times New Roman"/>
          <w:vertAlign w:val="superscript"/>
        </w:rPr>
        <w:t>me</w:t>
      </w:r>
      <w:r w:rsidRPr="00DE4A9F">
        <w:rPr>
          <w:rFonts w:cs="Times New Roman"/>
        </w:rPr>
        <w:t xml:space="preserve"> Riddle sollicitant que soit déclarée irrecevable et abusive la demande en annulation d’ivari, « [l]e jugement rendu en vertu de l’article 92 C.c.Q. ne tient qu’à une présomption, il n’établit pas de certitude et ne peut donc statuer de façon définitive sur l’état de la personne. Le retour anéantit la présomption du décès » (</w:t>
      </w:r>
      <w:r w:rsidRPr="00DE4A9F">
        <w:rPr>
          <w:rFonts w:cs="Times New Roman"/>
          <w:i/>
        </w:rPr>
        <w:t>D.C.R. c. J.R.</w:t>
      </w:r>
      <w:r w:rsidRPr="00DE4A9F">
        <w:rPr>
          <w:rFonts w:cs="Times New Roman"/>
        </w:rPr>
        <w:t xml:space="preserve">, 2019 QCCS 282, par. 17). En effet, tout comme la présomption de vie établie à l’art. 85 </w:t>
      </w:r>
      <w:r w:rsidRPr="00DE4A9F">
        <w:rPr>
          <w:rFonts w:cs="Times New Roman"/>
          <w:i/>
        </w:rPr>
        <w:t>C.c.Q.</w:t>
      </w:r>
      <w:r w:rsidRPr="00DE4A9F">
        <w:rPr>
          <w:rFonts w:cs="Times New Roman"/>
        </w:rPr>
        <w:t xml:space="preserve">, la présomption de décès n’est qu’une présomption légale et ne constitue pas, en </w:t>
      </w:r>
      <w:r w:rsidRPr="00DE4A9F">
        <w:rPr>
          <w:rFonts w:cs="Times New Roman"/>
        </w:rPr>
        <w:lastRenderedPageBreak/>
        <w:t xml:space="preserve">elle-même, la preuve du fait présumé (art. 2846 et 2847 </w:t>
      </w:r>
      <w:r w:rsidRPr="00DE4A9F">
        <w:rPr>
          <w:rFonts w:cs="Times New Roman"/>
          <w:i/>
        </w:rPr>
        <w:t>C.c.Q.</w:t>
      </w:r>
      <w:r w:rsidRPr="00DE4A9F">
        <w:rPr>
          <w:rFonts w:cs="Times New Roman"/>
        </w:rPr>
        <w:t xml:space="preserve">; </w:t>
      </w:r>
      <w:r w:rsidRPr="00DE4A9F">
        <w:rPr>
          <w:rFonts w:cs="Times New Roman"/>
          <w:i/>
        </w:rPr>
        <w:t>Threlfall</w:t>
      </w:r>
      <w:r w:rsidRPr="00DE4A9F">
        <w:rPr>
          <w:rFonts w:cs="Times New Roman"/>
        </w:rPr>
        <w:t xml:space="preserve">, par. 45). Le jugement déclaratif de décès ne constitue pas un mode de preuve du décès, mais plutôt un moyen d’obtenir un acte de décès (J. Beaulne, </w:t>
      </w:r>
      <w:r w:rsidRPr="00DE4A9F">
        <w:rPr>
          <w:rFonts w:cs="Times New Roman"/>
          <w:i/>
          <w:iCs/>
        </w:rPr>
        <w:t>La liquidation des successions</w:t>
      </w:r>
      <w:r w:rsidRPr="00DE4A9F">
        <w:rPr>
          <w:rFonts w:cs="Times New Roman"/>
        </w:rPr>
        <w:t xml:space="preserve"> (2</w:t>
      </w:r>
      <w:r w:rsidRPr="00DE4A9F">
        <w:rPr>
          <w:rFonts w:cs="Times New Roman"/>
          <w:vertAlign w:val="superscript"/>
        </w:rPr>
        <w:t>e</w:t>
      </w:r>
      <w:r w:rsidRPr="00DE4A9F">
        <w:rPr>
          <w:rFonts w:cs="Times New Roman"/>
        </w:rPr>
        <w:t xml:space="preserve"> éd. 2016), par. 3). </w:t>
      </w:r>
      <w:r w:rsidRPr="00DE4A9F">
        <w:rPr>
          <w:rFonts w:cs="Times New Roman"/>
          <w:bCs/>
        </w:rPr>
        <w:t xml:space="preserve">Dans ces circonstances, le jugement déclaratif de décès représente un « point de démarcation essentiel » qui permet de remédier aux inconvénients qu’entraîne une absence prolongée pour les ayants droit et permet </w:t>
      </w:r>
      <w:r w:rsidRPr="00DE4A9F">
        <w:rPr>
          <w:rFonts w:cs="Times New Roman"/>
        </w:rPr>
        <w:t>à la vie de reprendre son cours (</w:t>
      </w:r>
      <w:r w:rsidRPr="00DE4A9F">
        <w:rPr>
          <w:rFonts w:cs="Times New Roman"/>
          <w:i/>
        </w:rPr>
        <w:t>Threlfall</w:t>
      </w:r>
      <w:r w:rsidRPr="00DE4A9F">
        <w:rPr>
          <w:rFonts w:cs="Times New Roman"/>
        </w:rPr>
        <w:t>, par. 54). La présomption n’étant pas « une source permanente de droits », elle peut toujours être repoussée lorsque la personne qu’on croyait décédée refait surface</w:t>
      </w:r>
      <w:r w:rsidRPr="00DE4A9F">
        <w:rPr>
          <w:rFonts w:eastAsia="Times New Roman" w:cs="Times New Roman"/>
          <w:i/>
          <w:szCs w:val="20"/>
          <w:lang w:eastAsia="en-CA"/>
        </w:rPr>
        <w:t xml:space="preserve"> </w:t>
      </w:r>
      <w:r w:rsidRPr="00DE4A9F">
        <w:rPr>
          <w:rFonts w:eastAsia="Times New Roman" w:cs="Times New Roman"/>
          <w:szCs w:val="20"/>
          <w:lang w:eastAsia="en-CA"/>
        </w:rPr>
        <w:t>(</w:t>
      </w:r>
      <w:r w:rsidRPr="00DE4A9F">
        <w:rPr>
          <w:rFonts w:cs="Times New Roman"/>
        </w:rPr>
        <w:t>par. 48).</w:t>
      </w:r>
      <w:r w:rsidRPr="00DE4A9F">
        <w:rPr>
          <w:rFonts w:eastAsia="Times New Roman" w:cs="Times New Roman"/>
          <w:szCs w:val="20"/>
          <w:lang w:eastAsia="en-CA"/>
        </w:rPr>
        <w:t xml:space="preserve"> </w:t>
      </w:r>
    </w:p>
    <w:p w14:paraId="57862E5E" w14:textId="77777777" w:rsidR="00DE4A9F" w:rsidRPr="00DE4A9F" w:rsidRDefault="00DE4A9F" w:rsidP="00DE4A9F">
      <w:pPr>
        <w:pStyle w:val="Title4LevelTitre4Niveau"/>
        <w:numPr>
          <w:ilvl w:val="3"/>
          <w:numId w:val="8"/>
        </w:numPr>
        <w:rPr>
          <w:rFonts w:cs="Times New Roman"/>
        </w:rPr>
      </w:pPr>
      <w:r w:rsidRPr="00DE4A9F">
        <w:rPr>
          <w:rFonts w:cs="Times New Roman"/>
        </w:rPr>
        <w:t>Retour de l’absent</w:t>
      </w:r>
    </w:p>
    <w:p w14:paraId="51ADABAE" w14:textId="77777777" w:rsidR="00DE4A9F" w:rsidRPr="00DE4A9F" w:rsidRDefault="00DE4A9F" w:rsidP="00DE4A9F">
      <w:pPr>
        <w:pStyle w:val="ParaNoNdepar-AltN"/>
        <w:rPr>
          <w:rFonts w:cs="Times New Roman"/>
        </w:rPr>
      </w:pPr>
      <w:r w:rsidRPr="00DE4A9F">
        <w:rPr>
          <w:rFonts w:cs="Times New Roman"/>
        </w:rPr>
        <w:t xml:space="preserve">Le </w:t>
      </w:r>
      <w:r w:rsidRPr="00DE4A9F">
        <w:rPr>
          <w:rFonts w:cs="Times New Roman"/>
          <w:i/>
        </w:rPr>
        <w:t>Code</w:t>
      </w:r>
      <w:r w:rsidRPr="00DE4A9F">
        <w:rPr>
          <w:rFonts w:cs="Times New Roman"/>
        </w:rPr>
        <w:t xml:space="preserve"> </w:t>
      </w:r>
      <w:r w:rsidRPr="00DE4A9F">
        <w:rPr>
          <w:rFonts w:cs="Times New Roman"/>
          <w:i/>
        </w:rPr>
        <w:t>civil du Québec</w:t>
      </w:r>
      <w:r w:rsidRPr="00DE4A9F">
        <w:rPr>
          <w:rFonts w:cs="Times New Roman"/>
        </w:rPr>
        <w:t xml:space="preserve"> envisage toujours la possibilité du retour de l’absent et en aménage les effets. Lorsque l’absent revient avant le prononcé de son décès, soit lorsqu’il est encore présumé vivant, il reprend alors ses biens et toute tutelle à l’absent mise en place se termine (art. 90 </w:t>
      </w:r>
      <w:r w:rsidRPr="00DE4A9F">
        <w:rPr>
          <w:rFonts w:cs="Times New Roman"/>
          <w:i/>
        </w:rPr>
        <w:t>C.c.Q.</w:t>
      </w:r>
      <w:r w:rsidRPr="00DE4A9F">
        <w:rPr>
          <w:rFonts w:cs="Times New Roman"/>
        </w:rPr>
        <w:t xml:space="preserve">). La vie reprend ainsi son cours, comme si elle ne s’était jamais arrêtée. L’absent « s’affirme dans le royaume des vivants » (B. Teyssié, </w:t>
      </w:r>
      <w:r w:rsidRPr="00DE4A9F">
        <w:rPr>
          <w:rFonts w:cs="Times New Roman"/>
          <w:i/>
          <w:iCs/>
        </w:rPr>
        <w:t>Droit des personnes</w:t>
      </w:r>
      <w:r w:rsidRPr="00DE4A9F">
        <w:rPr>
          <w:rFonts w:cs="Times New Roman"/>
        </w:rPr>
        <w:t xml:space="preserve"> (20</w:t>
      </w:r>
      <w:r w:rsidRPr="00DE4A9F">
        <w:rPr>
          <w:rFonts w:cs="Times New Roman"/>
          <w:vertAlign w:val="superscript"/>
        </w:rPr>
        <w:t>e</w:t>
      </w:r>
      <w:r w:rsidRPr="00DE4A9F">
        <w:rPr>
          <w:rFonts w:cs="Times New Roman"/>
        </w:rPr>
        <w:t xml:space="preserve"> éd. 2018), par. 331). Dans ce contexte, le retour de l’absent ne renverse pas la présomption de vie, il la confirme simplement. </w:t>
      </w:r>
    </w:p>
    <w:p w14:paraId="0EA022C2" w14:textId="77777777" w:rsidR="00DE4A9F" w:rsidRPr="00DE4A9F" w:rsidRDefault="00DE4A9F" w:rsidP="00DE4A9F">
      <w:pPr>
        <w:pStyle w:val="ParaNoNdepar-AltN"/>
        <w:rPr>
          <w:rFonts w:cs="Times New Roman"/>
        </w:rPr>
      </w:pPr>
      <w:r w:rsidRPr="00DE4A9F">
        <w:rPr>
          <w:rFonts w:cs="Times New Roman"/>
        </w:rPr>
        <w:t xml:space="preserve">Lorsque l’absent revient du « royaume des morts », après le prononcé du jugement déclaratif de décès, le </w:t>
      </w:r>
      <w:r w:rsidRPr="00DE4A9F">
        <w:rPr>
          <w:rFonts w:cs="Times New Roman"/>
          <w:i/>
        </w:rPr>
        <w:t>Code civil du Québec</w:t>
      </w:r>
      <w:r w:rsidRPr="00DE4A9F">
        <w:rPr>
          <w:rFonts w:cs="Times New Roman"/>
        </w:rPr>
        <w:t xml:space="preserve"> organise les conséquences de cette « résurrection » (Teyssié, par. 358) dans la section intitulée « Du retour », aux art. 97 et suiv. </w:t>
      </w:r>
      <w:r w:rsidRPr="00DE4A9F">
        <w:rPr>
          <w:rFonts w:cs="Times New Roman"/>
          <w:i/>
        </w:rPr>
        <w:t>C.c.Q.</w:t>
      </w:r>
      <w:r w:rsidRPr="00DE4A9F">
        <w:rPr>
          <w:rFonts w:cs="Times New Roman"/>
        </w:rPr>
        <w:t xml:space="preserve"> Le mariage ou l’union civile demeure dissous, et le conjoint du </w:t>
      </w:r>
      <w:r w:rsidRPr="00DE4A9F">
        <w:rPr>
          <w:rFonts w:cs="Times New Roman"/>
        </w:rPr>
        <w:lastRenderedPageBreak/>
        <w:t xml:space="preserve">« revenant » conserve les biens obtenus lors de la dissolution du régime matrimonial, de même que les avantages qui en résultent (voir l’art. 97 </w:t>
      </w:r>
      <w:r w:rsidRPr="00DE4A9F">
        <w:rPr>
          <w:rFonts w:cs="Times New Roman"/>
          <w:i/>
        </w:rPr>
        <w:t>C.c.Q</w:t>
      </w:r>
      <w:r w:rsidRPr="00DE4A9F">
        <w:rPr>
          <w:rFonts w:cs="Times New Roman"/>
        </w:rPr>
        <w:t xml:space="preserve">.; Goubau, par. 65). Le revenant reprend ses biens dans l’état où ils se trouvent, selon les modalités propres à la restitution des prestations (art. 99 </w:t>
      </w:r>
      <w:r w:rsidRPr="00DE4A9F">
        <w:rPr>
          <w:rFonts w:cs="Times New Roman"/>
          <w:i/>
        </w:rPr>
        <w:t>C.c.Q.</w:t>
      </w:r>
      <w:r w:rsidRPr="00DE4A9F">
        <w:rPr>
          <w:rFonts w:cs="Times New Roman"/>
        </w:rPr>
        <w:t xml:space="preserve">). Par ailleurs, l’héritier apparent peut conserver la possession des biens et en acquérir les fruits et les revenus même s’il apprend l’existence actuelle de la personne déclarée décédée, tant que celui qui revient ne réclame pas les biens (art. 101 </w:t>
      </w:r>
      <w:r w:rsidRPr="00DE4A9F">
        <w:rPr>
          <w:rFonts w:cs="Times New Roman"/>
          <w:i/>
        </w:rPr>
        <w:t>C.c.Q.</w:t>
      </w:r>
      <w:r w:rsidRPr="00DE4A9F">
        <w:rPr>
          <w:rFonts w:cs="Times New Roman"/>
        </w:rPr>
        <w:t xml:space="preserve">). Dans ces circonstances, le retour de la personne déclarée décédée renverse la présomption de décès. </w:t>
      </w:r>
    </w:p>
    <w:bookmarkEnd w:id="12"/>
    <w:p w14:paraId="30621936" w14:textId="77777777" w:rsidR="00DE4A9F" w:rsidRPr="00DE4A9F" w:rsidRDefault="00DE4A9F" w:rsidP="00DE4A9F">
      <w:pPr>
        <w:pStyle w:val="Title3LevelTitre3Niveau"/>
        <w:numPr>
          <w:ilvl w:val="2"/>
          <w:numId w:val="8"/>
        </w:numPr>
        <w:rPr>
          <w:rFonts w:cs="Times New Roman"/>
          <w:lang w:val="fr-CA"/>
        </w:rPr>
      </w:pPr>
      <w:r w:rsidRPr="00DE4A9F">
        <w:rPr>
          <w:rFonts w:cs="Times New Roman"/>
          <w:lang w:val="fr-CA"/>
        </w:rPr>
        <w:t>Interprétation de la notion de « retour » de la personne déclarée décédée</w:t>
      </w:r>
    </w:p>
    <w:p w14:paraId="3E6DF0F4" w14:textId="77777777" w:rsidR="00DE4A9F" w:rsidRPr="00DE4A9F" w:rsidRDefault="00DE4A9F" w:rsidP="00DE4A9F">
      <w:pPr>
        <w:pStyle w:val="ParaNoNdepar-AltN"/>
        <w:rPr>
          <w:rFonts w:cs="Times New Roman"/>
        </w:rPr>
      </w:pPr>
      <w:bookmarkStart w:id="14" w:name="_Hlk225500678"/>
      <w:r w:rsidRPr="00DE4A9F">
        <w:rPr>
          <w:rFonts w:cs="Times New Roman"/>
        </w:rPr>
        <w:t xml:space="preserve">Le législateur n’a pas défini ce que signifie le « retour » de la personne présumée décédée aux art. 97 et suiv. </w:t>
      </w:r>
      <w:r w:rsidRPr="00DE4A9F">
        <w:rPr>
          <w:rFonts w:cs="Times New Roman"/>
          <w:i/>
        </w:rPr>
        <w:t>C.c.Q.</w:t>
      </w:r>
      <w:r w:rsidRPr="00DE4A9F">
        <w:rPr>
          <w:rFonts w:cs="Times New Roman"/>
        </w:rPr>
        <w:t xml:space="preserve"> Il convient donc de l’interpréter. La juge de première instance et la Cour d’appel ont préconisé une interprétation large de cette notion, considérant qu’elle s’entend de toute manifestation de l’existence actuelle de la personne disparue. Le retour peut être ainsi entendu comme étant la réapparition active et physique d’une personne dans un lieu donné.</w:t>
      </w:r>
      <w:r w:rsidRPr="00DE4A9F">
        <w:rPr>
          <w:rFonts w:eastAsia="Times New Roman" w:cs="Times New Roman"/>
          <w:szCs w:val="20"/>
          <w:lang w:eastAsia="en-CA"/>
        </w:rPr>
        <w:t xml:space="preserve"> </w:t>
      </w:r>
    </w:p>
    <w:p w14:paraId="1AC18D4B" w14:textId="77777777" w:rsidR="00DE4A9F" w:rsidRPr="00DE4A9F" w:rsidRDefault="00DE4A9F" w:rsidP="00DE4A9F">
      <w:pPr>
        <w:pStyle w:val="ParaNoNdepar-AltN"/>
        <w:rPr>
          <w:rFonts w:cs="Times New Roman"/>
        </w:rPr>
      </w:pPr>
      <w:r w:rsidRPr="00DE4A9F">
        <w:rPr>
          <w:rFonts w:cs="Times New Roman"/>
        </w:rPr>
        <w:t>Je partage cette interprétation. Interprété suivant le principe moderne, dans son « contexte global en suivant le sens ordinaire et grammatical qui s’harmonise avec l’économie de la loi, l’objet de la loi et l’intention du législateur » (</w:t>
      </w:r>
      <w:r w:rsidRPr="00DE4A9F">
        <w:rPr>
          <w:rFonts w:cs="Times New Roman"/>
          <w:i/>
          <w:iCs/>
        </w:rPr>
        <w:t>Rizzo &amp; Rizzo Shoes Ltd. (Re)</w:t>
      </w:r>
      <w:r w:rsidRPr="00DE4A9F">
        <w:rPr>
          <w:rFonts w:cs="Times New Roman"/>
        </w:rPr>
        <w:t xml:space="preserve">, [1998] 1 R.C.S. 27, par. 21, citant E. A. Driedger, </w:t>
      </w:r>
      <w:r w:rsidRPr="00DE4A9F">
        <w:rPr>
          <w:rFonts w:cs="Times New Roman"/>
          <w:i/>
          <w:iCs/>
        </w:rPr>
        <w:t>Construction of Statutes</w:t>
      </w:r>
      <w:r w:rsidRPr="00DE4A9F">
        <w:rPr>
          <w:rFonts w:cs="Times New Roman"/>
        </w:rPr>
        <w:t xml:space="preserve"> (2</w:t>
      </w:r>
      <w:r w:rsidRPr="00DE4A9F">
        <w:rPr>
          <w:rFonts w:cs="Times New Roman"/>
          <w:vertAlign w:val="superscript"/>
        </w:rPr>
        <w:t>e</w:t>
      </w:r>
      <w:r w:rsidRPr="00DE4A9F">
        <w:rPr>
          <w:rFonts w:cs="Times New Roman"/>
        </w:rPr>
        <w:t xml:space="preserve"> éd. 1983), p. 87), le terme « retour » s’entend, aux art. 97 et suiv. </w:t>
      </w:r>
      <w:r w:rsidRPr="00DE4A9F">
        <w:rPr>
          <w:rFonts w:cs="Times New Roman"/>
          <w:i/>
        </w:rPr>
        <w:t>C.c.Q.</w:t>
      </w:r>
      <w:r w:rsidRPr="00DE4A9F">
        <w:rPr>
          <w:rFonts w:cs="Times New Roman"/>
        </w:rPr>
        <w:t xml:space="preserve">, non seulement de la réapparition physique de la personne déclarée décédée à son domicile, </w:t>
      </w:r>
      <w:r w:rsidRPr="00DE4A9F">
        <w:rPr>
          <w:rFonts w:cs="Times New Roman"/>
        </w:rPr>
        <w:lastRenderedPageBreak/>
        <w:t xml:space="preserve">mais aussi de manifestations de l’existence actuelle de la personne déclarée décédée. Le terme ne contient aucune limite géographique, mais implique toutefois une limite temporelle. </w:t>
      </w:r>
    </w:p>
    <w:p w14:paraId="0E56491F" w14:textId="77777777" w:rsidR="00DE4A9F" w:rsidRPr="00DE4A9F" w:rsidRDefault="00DE4A9F" w:rsidP="00DE4A9F">
      <w:pPr>
        <w:pStyle w:val="ParaNoNdepar-AltN"/>
        <w:rPr>
          <w:rFonts w:cs="Times New Roman"/>
        </w:rPr>
      </w:pPr>
      <w:r w:rsidRPr="00DE4A9F">
        <w:rPr>
          <w:rFonts w:cs="Times New Roman"/>
        </w:rPr>
        <w:t xml:space="preserve">Cette interprétation tient compte de la nature du </w:t>
      </w:r>
      <w:r w:rsidRPr="00DE4A9F">
        <w:rPr>
          <w:rFonts w:cs="Times New Roman"/>
          <w:i/>
        </w:rPr>
        <w:t>Code civil du Québec</w:t>
      </w:r>
      <w:r w:rsidRPr="00DE4A9F">
        <w:rPr>
          <w:rFonts w:cs="Times New Roman"/>
        </w:rPr>
        <w:t>, qui constitue le socle, ou l</w:t>
      </w:r>
      <w:proofErr w:type="gramStart"/>
      <w:r w:rsidRPr="00DE4A9F">
        <w:rPr>
          <w:rFonts w:cs="Times New Roman"/>
        </w:rPr>
        <w:t>’«</w:t>
      </w:r>
      <w:proofErr w:type="gramEnd"/>
      <w:r w:rsidRPr="00DE4A9F">
        <w:rPr>
          <w:rFonts w:cs="Times New Roman"/>
        </w:rPr>
        <w:t xml:space="preserve"> armature conceptuelle » du droit québécois (F. Allard, « La </w:t>
      </w:r>
      <w:r w:rsidRPr="00DE4A9F">
        <w:rPr>
          <w:rFonts w:cs="Times New Roman"/>
          <w:i/>
        </w:rPr>
        <w:t>Charte des droits et libertés de la personne</w:t>
      </w:r>
      <w:r w:rsidRPr="00DE4A9F">
        <w:rPr>
          <w:rFonts w:cs="Times New Roman"/>
        </w:rPr>
        <w:t xml:space="preserve"> et le </w:t>
      </w:r>
      <w:r w:rsidRPr="00DE4A9F">
        <w:rPr>
          <w:rFonts w:cs="Times New Roman"/>
          <w:i/>
        </w:rPr>
        <w:t>Code civil du Québec </w:t>
      </w:r>
      <w:r w:rsidRPr="00DE4A9F">
        <w:rPr>
          <w:rFonts w:cs="Times New Roman"/>
        </w:rPr>
        <w:t xml:space="preserve">: deux textes fondamentaux du droit civil québécois dans une relation d’“harmonie ambiguë” », [2006] </w:t>
      </w:r>
      <w:r w:rsidRPr="00DE4A9F">
        <w:rPr>
          <w:rFonts w:cs="Times New Roman"/>
          <w:i/>
        </w:rPr>
        <w:t>R. du B.</w:t>
      </w:r>
      <w:r w:rsidRPr="00DE4A9F">
        <w:rPr>
          <w:rFonts w:cs="Times New Roman"/>
        </w:rPr>
        <w:t xml:space="preserve"> (numéro thématique) 33, p. 38). Comme l’enseigne notre Cour, le </w:t>
      </w:r>
      <w:r w:rsidRPr="00DE4A9F">
        <w:rPr>
          <w:rFonts w:cs="Times New Roman"/>
          <w:i/>
        </w:rPr>
        <w:t>Code civil du Québec</w:t>
      </w:r>
      <w:r w:rsidRPr="00DE4A9F">
        <w:rPr>
          <w:rFonts w:cs="Times New Roman"/>
        </w:rPr>
        <w:t xml:space="preserve"> « doit recevoir une interprétation large qui favorise l’esprit sur la lettre », de manière à permettre « aux dispositions d’atteindre leur objet » (</w:t>
      </w:r>
      <w:r w:rsidRPr="00DE4A9F">
        <w:rPr>
          <w:rFonts w:cs="Times New Roman"/>
          <w:i/>
          <w:iCs/>
        </w:rPr>
        <w:t>Doré c. Verdun (Ville)</w:t>
      </w:r>
      <w:r w:rsidRPr="00DE4A9F">
        <w:rPr>
          <w:rFonts w:cs="Times New Roman"/>
        </w:rPr>
        <w:t xml:space="preserve">, [1997] 2 R.C.S. 862, par. 15; voir aussi </w:t>
      </w:r>
      <w:r w:rsidRPr="00DE4A9F">
        <w:rPr>
          <w:rFonts w:cs="Times New Roman"/>
          <w:i/>
        </w:rPr>
        <w:t>Montréal (Ville) c. Dorval</w:t>
      </w:r>
      <w:r w:rsidRPr="00DE4A9F">
        <w:rPr>
          <w:rFonts w:cs="Times New Roman"/>
        </w:rPr>
        <w:t xml:space="preserve">, 2017 CSC 48, [2017] 2 R.C.S. 250, par. 50; </w:t>
      </w:r>
      <w:r w:rsidRPr="00DE4A9F">
        <w:rPr>
          <w:rFonts w:cs="Times New Roman"/>
          <w:i/>
        </w:rPr>
        <w:t>Conseil Mohawk</w:t>
      </w:r>
      <w:r w:rsidRPr="00DE4A9F">
        <w:rPr>
          <w:rFonts w:cs="Times New Roman"/>
        </w:rPr>
        <w:t xml:space="preserve">, par. 67). Aspirant à l’unité, le </w:t>
      </w:r>
      <w:r w:rsidRPr="00DE4A9F">
        <w:rPr>
          <w:rFonts w:cs="Times New Roman"/>
          <w:i/>
        </w:rPr>
        <w:t>Code civil du Québec</w:t>
      </w:r>
      <w:r w:rsidRPr="00DE4A9F">
        <w:rPr>
          <w:rFonts w:cs="Times New Roman"/>
        </w:rPr>
        <w:t xml:space="preserve"> érige un système rationnel, ordonné et cohérent de dispositions étroitement liées entre elles qui doivent être interprétées comme un tout, à la lumière de l’ensemble de l’édifice et des prémisses qui l’animent (voir J. Boulanger</w:t>
      </w:r>
      <w:r w:rsidRPr="00DE4A9F">
        <w:rPr>
          <w:rFonts w:cs="Times New Roman"/>
        </w:rPr>
        <w:noBreakHyphen/>
        <w:t xml:space="preserve">Bonnelly, « Contributions civilistes à l’interprétation des lois constitutionnelles canadiennes » (2025), 70 </w:t>
      </w:r>
      <w:r w:rsidRPr="00DE4A9F">
        <w:rPr>
          <w:rFonts w:cs="Times New Roman"/>
          <w:i/>
        </w:rPr>
        <w:t>R.D.</w:t>
      </w:r>
      <w:r w:rsidRPr="00DE4A9F">
        <w:rPr>
          <w:rFonts w:cs="Times New Roman"/>
        </w:rPr>
        <w:t xml:space="preserve"> </w:t>
      </w:r>
      <w:r w:rsidRPr="00DE4A9F">
        <w:rPr>
          <w:rFonts w:cs="Times New Roman"/>
          <w:i/>
          <w:iCs/>
        </w:rPr>
        <w:t xml:space="preserve">McGill </w:t>
      </w:r>
      <w:r w:rsidRPr="00DE4A9F">
        <w:rPr>
          <w:rFonts w:cs="Times New Roman"/>
        </w:rPr>
        <w:t>203, p. 223-224;</w:t>
      </w:r>
      <w:r w:rsidRPr="00DE4A9F">
        <w:rPr>
          <w:rFonts w:eastAsia="Times New Roman" w:cs="Times New Roman"/>
          <w:szCs w:val="20"/>
          <w:lang w:eastAsia="en-CA"/>
        </w:rPr>
        <w:t xml:space="preserve"> </w:t>
      </w:r>
      <w:r w:rsidRPr="00DE4A9F">
        <w:rPr>
          <w:rFonts w:cs="Times New Roman"/>
        </w:rPr>
        <w:t xml:space="preserve">P.‐A. Côté et M. Devinat, </w:t>
      </w:r>
      <w:r w:rsidRPr="00DE4A9F">
        <w:rPr>
          <w:rFonts w:cs="Times New Roman"/>
          <w:i/>
          <w:iCs/>
        </w:rPr>
        <w:t>Interprétation des lois</w:t>
      </w:r>
      <w:r w:rsidRPr="00DE4A9F">
        <w:rPr>
          <w:rFonts w:cs="Times New Roman"/>
        </w:rPr>
        <w:t xml:space="preserve"> (5</w:t>
      </w:r>
      <w:r w:rsidRPr="00DE4A9F">
        <w:rPr>
          <w:rFonts w:cs="Times New Roman"/>
          <w:vertAlign w:val="superscript"/>
        </w:rPr>
        <w:t>e</w:t>
      </w:r>
      <w:r w:rsidRPr="00DE4A9F">
        <w:rPr>
          <w:rFonts w:cs="Times New Roman"/>
        </w:rPr>
        <w:t xml:space="preserve"> éd. 2021), par. 1070). L’interprétation doit également tenir compte du fait que ses dispositions, souvent rédigées dans un langage souple, présentent un « haut niveau d’abstraction » afin de permettre leur application à des situations que le législateur n’a pas expressément envisagées (Côté et Devinat, par. 1070; </w:t>
      </w:r>
      <w:r w:rsidRPr="00DE4A9F">
        <w:rPr>
          <w:rFonts w:cs="Times New Roman"/>
          <w:i/>
        </w:rPr>
        <w:t>Conseil Mohawk</w:t>
      </w:r>
      <w:r w:rsidRPr="00DE4A9F">
        <w:rPr>
          <w:rFonts w:cs="Times New Roman"/>
        </w:rPr>
        <w:t xml:space="preserve">, par. 67). </w:t>
      </w:r>
    </w:p>
    <w:p w14:paraId="1F3FD9B2" w14:textId="77777777" w:rsidR="00DE4A9F" w:rsidRPr="00DE4A9F" w:rsidRDefault="00DE4A9F" w:rsidP="00DE4A9F">
      <w:pPr>
        <w:pStyle w:val="ParaNoNdepar-AltN"/>
        <w:rPr>
          <w:rFonts w:cs="Times New Roman"/>
        </w:rPr>
      </w:pPr>
      <w:r w:rsidRPr="00DE4A9F">
        <w:rPr>
          <w:rFonts w:cs="Times New Roman"/>
        </w:rPr>
        <w:lastRenderedPageBreak/>
        <w:t xml:space="preserve">Au sens strict, le terme </w:t>
      </w:r>
      <w:r w:rsidRPr="00DE4A9F">
        <w:rPr>
          <w:rFonts w:cs="Times New Roman"/>
          <w:i/>
          <w:iCs/>
        </w:rPr>
        <w:t>retour</w:t>
      </w:r>
      <w:r w:rsidRPr="00DE4A9F">
        <w:rPr>
          <w:rFonts w:cs="Times New Roman"/>
        </w:rPr>
        <w:t xml:space="preserve"> désigne l</w:t>
      </w:r>
      <w:proofErr w:type="gramStart"/>
      <w:r w:rsidRPr="00DE4A9F">
        <w:rPr>
          <w:rFonts w:cs="Times New Roman"/>
        </w:rPr>
        <w:t>’«</w:t>
      </w:r>
      <w:proofErr w:type="gramEnd"/>
      <w:r w:rsidRPr="00DE4A9F">
        <w:rPr>
          <w:rFonts w:cs="Times New Roman"/>
        </w:rPr>
        <w:t> [a]ction de retourner » ou le « fait d’arriver, d’être revenu à son point de départ » (</w:t>
      </w:r>
      <w:r w:rsidRPr="00DE4A9F">
        <w:rPr>
          <w:rFonts w:cs="Times New Roman"/>
          <w:bCs/>
          <w:i/>
        </w:rPr>
        <w:t xml:space="preserve">Le Grand Robert de la langue française </w:t>
      </w:r>
      <w:r w:rsidRPr="00DE4A9F">
        <w:rPr>
          <w:rFonts w:cs="Times New Roman"/>
          <w:bCs/>
        </w:rPr>
        <w:t>(version électronique)</w:t>
      </w:r>
      <w:r w:rsidRPr="00DE4A9F">
        <w:rPr>
          <w:rFonts w:cs="Times New Roman"/>
        </w:rPr>
        <w:t xml:space="preserve">, </w:t>
      </w:r>
      <w:r w:rsidRPr="00DE4A9F">
        <w:rPr>
          <w:rFonts w:cs="Times New Roman"/>
          <w:i/>
        </w:rPr>
        <w:t>sub verbo</w:t>
      </w:r>
      <w:r w:rsidRPr="00DE4A9F">
        <w:rPr>
          <w:rFonts w:cs="Times New Roman"/>
        </w:rPr>
        <w:t xml:space="preserve"> « retour »). Ces définitions impliquent nécessairement la présence physique de la personne présumée décédée au Québec. Cependant, le retour peut également être compris comme étant le fait « de retourner [. . .] à son état habituel, un état plus ancien » (</w:t>
      </w:r>
      <w:r w:rsidRPr="00DE4A9F">
        <w:rPr>
          <w:rFonts w:cs="Times New Roman"/>
          <w:i/>
        </w:rPr>
        <w:t>ibid.</w:t>
      </w:r>
      <w:r w:rsidRPr="00DE4A9F">
        <w:rPr>
          <w:rFonts w:cs="Times New Roman"/>
        </w:rPr>
        <w:t>). De ce point de vue, le retour peut supposer le passage de la personne que l’on croyait décédée à l’état de vivant. Si la personne est retrouvée, où qu’elle soit dans le monde, c’est qu’elle est de retour. Dans un tel cas, ce terme renvoie donc plutôt à l’idée de réapparition de la personne déclarée décédée dans le monde des vivants.</w:t>
      </w:r>
    </w:p>
    <w:p w14:paraId="6F8F3450" w14:textId="77777777" w:rsidR="00DE4A9F" w:rsidRPr="00DE4A9F" w:rsidRDefault="00DE4A9F" w:rsidP="00DE4A9F">
      <w:pPr>
        <w:pStyle w:val="ParaNoNdepar-AltN"/>
        <w:rPr>
          <w:rFonts w:cs="Times New Roman"/>
          <w:shd w:val="clear" w:color="auto" w:fill="FFFFFF"/>
        </w:rPr>
      </w:pPr>
      <w:r w:rsidRPr="00DE4A9F">
        <w:rPr>
          <w:rFonts w:cs="Times New Roman"/>
          <w:shd w:val="clear" w:color="auto" w:fill="FFFFFF"/>
        </w:rPr>
        <w:t xml:space="preserve">Les articles 100 et 101 </w:t>
      </w:r>
      <w:r w:rsidRPr="00DE4A9F">
        <w:rPr>
          <w:rFonts w:cs="Times New Roman"/>
          <w:i/>
          <w:shd w:val="clear" w:color="auto" w:fill="FFFFFF"/>
        </w:rPr>
        <w:t>C.c.B.-C.</w:t>
      </w:r>
      <w:r w:rsidRPr="00DE4A9F">
        <w:rPr>
          <w:rFonts w:cs="Times New Roman"/>
          <w:shd w:val="clear" w:color="auto" w:fill="FFFFFF"/>
        </w:rPr>
        <w:t xml:space="preserve">, qui portaient sur les conséquences juridiques de la résurgence de l’absent, faisaient usage de termes évoquant les notions de « réapparition » de l’absent et de « preuve de son existence », et non du terme « retour » : </w:t>
      </w:r>
    </w:p>
    <w:p w14:paraId="63D6D92C" w14:textId="77777777" w:rsidR="00DE4A9F" w:rsidRPr="00DE4A9F" w:rsidRDefault="00DE4A9F" w:rsidP="00DE4A9F">
      <w:pPr>
        <w:pStyle w:val="Citation-AltC"/>
        <w:ind w:firstLine="274"/>
        <w:rPr>
          <w:shd w:val="clear" w:color="auto" w:fill="FFFFFF"/>
        </w:rPr>
      </w:pPr>
      <w:r w:rsidRPr="00DE4A9F">
        <w:rPr>
          <w:b/>
          <w:shd w:val="clear" w:color="auto" w:fill="FFFFFF"/>
        </w:rPr>
        <w:t>100.</w:t>
      </w:r>
      <w:r w:rsidRPr="00DE4A9F">
        <w:rPr>
          <w:shd w:val="clear" w:color="auto" w:fill="FFFFFF"/>
        </w:rPr>
        <w:t xml:space="preserve"> Si l’absent reparaît, ou si son existence est prouvée, pendant la possession provisoire, les effets du jugement qui l’a ordonnée cessent.</w:t>
      </w:r>
    </w:p>
    <w:p w14:paraId="44564D6B" w14:textId="77777777" w:rsidR="00DE4A9F" w:rsidRPr="00DE4A9F" w:rsidRDefault="00DE4A9F" w:rsidP="00DE4A9F">
      <w:pPr>
        <w:pStyle w:val="Citation-AltC"/>
        <w:rPr>
          <w:shd w:val="clear" w:color="auto" w:fill="FFFFFF"/>
        </w:rPr>
      </w:pPr>
    </w:p>
    <w:p w14:paraId="3DE4D2F2" w14:textId="77777777" w:rsidR="00DE4A9F" w:rsidRPr="00DE4A9F" w:rsidRDefault="00DE4A9F" w:rsidP="00DE4A9F">
      <w:pPr>
        <w:pStyle w:val="Citation-AltC"/>
        <w:ind w:firstLine="274"/>
        <w:rPr>
          <w:shd w:val="clear" w:color="auto" w:fill="FFFFFF"/>
        </w:rPr>
      </w:pPr>
      <w:r w:rsidRPr="00DE4A9F">
        <w:rPr>
          <w:b/>
          <w:shd w:val="clear" w:color="auto" w:fill="FFFFFF"/>
        </w:rPr>
        <w:t>101.</w:t>
      </w:r>
      <w:r w:rsidRPr="00DE4A9F">
        <w:rPr>
          <w:shd w:val="clear" w:color="auto" w:fill="FFFFFF"/>
        </w:rPr>
        <w:t xml:space="preserve"> Si l’absent reparaît, ou si son existence est prouvée, même après l’expiration des cent années de vie ou des trente ans d’absence, tel que porté en l’article 98, il recouvre ses biens dans l’état où ils se trouvent, le prix de ceux qui ont été aliénés, ou les biens provenant de l’emploi de ce prix.</w:t>
      </w:r>
    </w:p>
    <w:p w14:paraId="0E7D55EC" w14:textId="77777777" w:rsidR="00DE4A9F" w:rsidRPr="00DE4A9F" w:rsidRDefault="00DE4A9F" w:rsidP="00DE4A9F">
      <w:pPr>
        <w:pStyle w:val="ParaNoNdepar-AltN"/>
        <w:rPr>
          <w:rFonts w:cs="Times New Roman"/>
          <w:shd w:val="clear" w:color="auto" w:fill="FFFFFF"/>
        </w:rPr>
      </w:pPr>
      <w:r w:rsidRPr="00DE4A9F">
        <w:rPr>
          <w:rFonts w:cs="Times New Roman"/>
          <w:shd w:val="clear" w:color="auto" w:fill="FFFFFF"/>
        </w:rPr>
        <w:t xml:space="preserve">La version anglaise de ces dispositions utilisait les mêmes termes : </w:t>
      </w:r>
    </w:p>
    <w:p w14:paraId="79560790" w14:textId="77777777" w:rsidR="00DE4A9F" w:rsidRPr="00DE4A9F" w:rsidRDefault="00DE4A9F" w:rsidP="00DE4A9F">
      <w:pPr>
        <w:pStyle w:val="Citation-AltC"/>
        <w:ind w:firstLine="274"/>
        <w:rPr>
          <w:shd w:val="clear" w:color="auto" w:fill="FFFFFF"/>
          <w:lang w:val="en-US"/>
        </w:rPr>
      </w:pPr>
      <w:r w:rsidRPr="00DE4A9F">
        <w:rPr>
          <w:b/>
          <w:shd w:val="clear" w:color="auto" w:fill="FFFFFF"/>
          <w:lang w:val="en-US"/>
        </w:rPr>
        <w:lastRenderedPageBreak/>
        <w:t>100.</w:t>
      </w:r>
      <w:r w:rsidRPr="00DE4A9F">
        <w:rPr>
          <w:shd w:val="clear" w:color="auto" w:fill="FFFFFF"/>
          <w:lang w:val="en-US"/>
        </w:rPr>
        <w:t xml:space="preserve"> If the absentee </w:t>
      </w:r>
      <w:proofErr w:type="gramStart"/>
      <w:r w:rsidRPr="00DE4A9F">
        <w:rPr>
          <w:shd w:val="clear" w:color="auto" w:fill="FFFFFF"/>
          <w:lang w:val="en-US"/>
        </w:rPr>
        <w:t>reappear</w:t>
      </w:r>
      <w:proofErr w:type="gramEnd"/>
      <w:r w:rsidRPr="00DE4A9F">
        <w:rPr>
          <w:shd w:val="clear" w:color="auto" w:fill="FFFFFF"/>
          <w:lang w:val="en-US"/>
        </w:rPr>
        <w:t>, or if his existence be proved during the provisional possession, the judgment granting it, ceases to have effect.</w:t>
      </w:r>
    </w:p>
    <w:p w14:paraId="746D0E6E" w14:textId="77777777" w:rsidR="00DE4A9F" w:rsidRPr="00DE4A9F" w:rsidRDefault="00DE4A9F" w:rsidP="00DE4A9F">
      <w:pPr>
        <w:pStyle w:val="Citation-AltC"/>
        <w:rPr>
          <w:shd w:val="clear" w:color="auto" w:fill="FFFFFF"/>
          <w:lang w:val="en-US"/>
        </w:rPr>
      </w:pPr>
    </w:p>
    <w:p w14:paraId="16CF7A30" w14:textId="77777777" w:rsidR="00DE4A9F" w:rsidRPr="00DE4A9F" w:rsidRDefault="00DE4A9F" w:rsidP="00DE4A9F">
      <w:pPr>
        <w:pStyle w:val="Citation-AltC"/>
        <w:ind w:firstLine="274"/>
        <w:rPr>
          <w:shd w:val="clear" w:color="auto" w:fill="FFFFFF"/>
          <w:lang w:val="en-US"/>
        </w:rPr>
      </w:pPr>
      <w:r w:rsidRPr="00DE4A9F">
        <w:rPr>
          <w:b/>
          <w:shd w:val="clear" w:color="auto" w:fill="FFFFFF"/>
          <w:lang w:val="en-US"/>
        </w:rPr>
        <w:t>101.</w:t>
      </w:r>
      <w:r w:rsidRPr="00DE4A9F">
        <w:rPr>
          <w:shd w:val="clear" w:color="auto" w:fill="FFFFFF"/>
          <w:lang w:val="en-US"/>
        </w:rPr>
        <w:t xml:space="preserve"> If the absentee reappear, or if his existence be proved, even after the expiration of the hundred years of life or of the thirty years of absence, as mentioned in article 98, he recovers his property in the condition in which it then is, and the price of what has been sold, or the property arising from the investment of such price.</w:t>
      </w:r>
    </w:p>
    <w:p w14:paraId="308F5064" w14:textId="77777777" w:rsidR="00DE4A9F" w:rsidRPr="00DE4A9F" w:rsidRDefault="00DE4A9F" w:rsidP="00DE4A9F">
      <w:pPr>
        <w:pStyle w:val="ParaNoNdepar-AltN"/>
        <w:rPr>
          <w:rFonts w:cs="Times New Roman"/>
          <w:shd w:val="clear" w:color="auto" w:fill="FFFFFF"/>
        </w:rPr>
      </w:pPr>
      <w:r w:rsidRPr="00DE4A9F">
        <w:rPr>
          <w:rFonts w:cs="Times New Roman"/>
          <w:shd w:val="clear" w:color="auto" w:fill="FFFFFF"/>
        </w:rPr>
        <w:t xml:space="preserve">On ne saurait toutefois assimiler ce changement terminologique à une volonté du législateur d’exiger le retour physique du disparu à son domicile plutôt que sa simple réapparition à quelque part, ou une preuve certaine de son existence actuelle, comme le prétend </w:t>
      </w:r>
      <w:r w:rsidRPr="00DE4A9F">
        <w:rPr>
          <w:rFonts w:cs="Times New Roman"/>
        </w:rPr>
        <w:t>M</w:t>
      </w:r>
      <w:r w:rsidRPr="00DE4A9F">
        <w:rPr>
          <w:rFonts w:cs="Times New Roman"/>
          <w:vertAlign w:val="superscript"/>
        </w:rPr>
        <w:t>me</w:t>
      </w:r>
      <w:r w:rsidRPr="00DE4A9F">
        <w:rPr>
          <w:rFonts w:cs="Times New Roman"/>
        </w:rPr>
        <w:t xml:space="preserve"> Riddle</w:t>
      </w:r>
      <w:r w:rsidRPr="00DE4A9F">
        <w:rPr>
          <w:rFonts w:cs="Times New Roman"/>
          <w:shd w:val="clear" w:color="auto" w:fill="FFFFFF"/>
        </w:rPr>
        <w:t xml:space="preserve">. Les rapports de l’Office de révision du Code civil (« ORCC ») et les commentaires du ministre ne témoignent aucunement d’une volonté de modifier l’état du droit antérieur sur cette notion. Le </w:t>
      </w:r>
      <w:r w:rsidRPr="00DE4A9F">
        <w:rPr>
          <w:rFonts w:cs="Times New Roman"/>
          <w:i/>
          <w:shd w:val="clear" w:color="auto" w:fill="FFFFFF"/>
        </w:rPr>
        <w:t>Projet de</w:t>
      </w:r>
      <w:r w:rsidRPr="00DE4A9F">
        <w:rPr>
          <w:rFonts w:cs="Times New Roman"/>
          <w:shd w:val="clear" w:color="auto" w:fill="FFFFFF"/>
        </w:rPr>
        <w:t xml:space="preserve"> </w:t>
      </w:r>
      <w:r w:rsidRPr="00DE4A9F">
        <w:rPr>
          <w:rFonts w:cs="Times New Roman"/>
          <w:i/>
          <w:shd w:val="clear" w:color="auto" w:fill="FFFFFF"/>
        </w:rPr>
        <w:t>Code civil</w:t>
      </w:r>
      <w:r w:rsidRPr="00DE4A9F">
        <w:rPr>
          <w:rFonts w:cs="Times New Roman"/>
          <w:shd w:val="clear" w:color="auto" w:fill="FFFFFF"/>
        </w:rPr>
        <w:t xml:space="preserve"> de l’ORCC conservait, dans son ultime mouture, le verbe « reparaître », bien que la version anglaise </w:t>
      </w:r>
      <w:proofErr w:type="gramStart"/>
      <w:r w:rsidRPr="00DE4A9F">
        <w:rPr>
          <w:rFonts w:cs="Times New Roman"/>
          <w:shd w:val="clear" w:color="auto" w:fill="FFFFFF"/>
        </w:rPr>
        <w:t>utilisait</w:t>
      </w:r>
      <w:proofErr w:type="gramEnd"/>
      <w:r w:rsidRPr="00DE4A9F">
        <w:rPr>
          <w:rFonts w:cs="Times New Roman"/>
          <w:shd w:val="clear" w:color="auto" w:fill="FFFFFF"/>
        </w:rPr>
        <w:t xml:space="preserve"> alors parfois le verbe « </w:t>
      </w:r>
      <w:r w:rsidRPr="00DE4A9F">
        <w:rPr>
          <w:rFonts w:cs="Times New Roman"/>
          <w:i/>
          <w:shd w:val="clear" w:color="auto" w:fill="FFFFFF"/>
        </w:rPr>
        <w:t>return</w:t>
      </w:r>
      <w:r w:rsidRPr="00DE4A9F">
        <w:rPr>
          <w:rFonts w:cs="Times New Roman"/>
          <w:shd w:val="clear" w:color="auto" w:fill="FFFFFF"/>
        </w:rPr>
        <w:t xml:space="preserve"> » (voir le </w:t>
      </w:r>
      <w:r w:rsidRPr="00DE4A9F">
        <w:rPr>
          <w:rFonts w:cs="Times New Roman"/>
          <w:i/>
        </w:rPr>
        <w:t>Rapport sur le Code civil du Québec</w:t>
      </w:r>
      <w:r w:rsidRPr="00DE4A9F">
        <w:rPr>
          <w:rFonts w:cs="Times New Roman"/>
        </w:rPr>
        <w:t>, vol. I,</w:t>
      </w:r>
      <w:r w:rsidRPr="00DE4A9F">
        <w:rPr>
          <w:rFonts w:cs="Times New Roman"/>
          <w:i/>
        </w:rPr>
        <w:t xml:space="preserve"> Projet de Code civil</w:t>
      </w:r>
      <w:r w:rsidRPr="00DE4A9F">
        <w:rPr>
          <w:rFonts w:cs="Times New Roman"/>
        </w:rPr>
        <w:t xml:space="preserve"> (1978)</w:t>
      </w:r>
      <w:r w:rsidRPr="00DE4A9F">
        <w:rPr>
          <w:rFonts w:cs="Times New Roman"/>
          <w:shd w:val="clear" w:color="auto" w:fill="FFFFFF"/>
        </w:rPr>
        <w:t>, p. 23 et 38). Les commentaires du ministre assimilent quant à eux la notion de « retour » à l’action de « reparaître » et ne précisent aucun changement dans le sens qu’il convient de donner à cette notion (</w:t>
      </w:r>
      <w:r w:rsidRPr="00DE4A9F">
        <w:rPr>
          <w:rFonts w:cs="Times New Roman"/>
          <w:i/>
          <w:iCs/>
          <w:shd w:val="clear" w:color="auto" w:fill="FFFFFF"/>
        </w:rPr>
        <w:t xml:space="preserve">Commentaires </w:t>
      </w:r>
      <w:r w:rsidRPr="00DE4A9F">
        <w:rPr>
          <w:rFonts w:cs="Times New Roman"/>
          <w:i/>
          <w:shd w:val="clear" w:color="auto" w:fill="FFFFFF"/>
        </w:rPr>
        <w:t>du</w:t>
      </w:r>
      <w:r w:rsidRPr="00DE4A9F">
        <w:rPr>
          <w:rFonts w:cs="Times New Roman"/>
          <w:shd w:val="clear" w:color="auto" w:fill="FFFFFF"/>
        </w:rPr>
        <w:t xml:space="preserve"> </w:t>
      </w:r>
      <w:r w:rsidRPr="00DE4A9F">
        <w:rPr>
          <w:rFonts w:cs="Times New Roman"/>
          <w:i/>
          <w:iCs/>
          <w:shd w:val="clear" w:color="auto" w:fill="FFFFFF"/>
        </w:rPr>
        <w:t>ministre de la Justice</w:t>
      </w:r>
      <w:r w:rsidRPr="00DE4A9F">
        <w:rPr>
          <w:rFonts w:cs="Times New Roman"/>
          <w:shd w:val="clear" w:color="auto" w:fill="FFFFFF"/>
        </w:rPr>
        <w:t>, p. 75-77).</w:t>
      </w:r>
      <w:r w:rsidRPr="00DE4A9F">
        <w:rPr>
          <w:rFonts w:cs="Times New Roman"/>
        </w:rPr>
        <w:t xml:space="preserve"> Notamment, ils indiquent que l’art. 99 </w:t>
      </w:r>
      <w:r w:rsidRPr="00DE4A9F">
        <w:rPr>
          <w:rFonts w:cs="Times New Roman"/>
          <w:i/>
          <w:iCs/>
        </w:rPr>
        <w:t>C.c.Q.</w:t>
      </w:r>
      <w:r w:rsidRPr="00DE4A9F">
        <w:rPr>
          <w:rFonts w:cs="Times New Roman"/>
        </w:rPr>
        <w:t xml:space="preserve">, qui traite du sort des biens de « [c]elui qui revient », reprend essentiellement les art. 73 et 101 </w:t>
      </w:r>
      <w:r w:rsidRPr="00DE4A9F">
        <w:rPr>
          <w:rFonts w:cs="Times New Roman"/>
          <w:i/>
          <w:iCs/>
        </w:rPr>
        <w:t>C.c.B.-C.</w:t>
      </w:r>
      <w:r w:rsidRPr="00DE4A9F">
        <w:rPr>
          <w:rFonts w:cs="Times New Roman"/>
        </w:rPr>
        <w:t>, qui référaient à celui qui « reparaît » ou dont l</w:t>
      </w:r>
      <w:proofErr w:type="gramStart"/>
      <w:r w:rsidRPr="00DE4A9F">
        <w:rPr>
          <w:rFonts w:cs="Times New Roman"/>
        </w:rPr>
        <w:t>’«</w:t>
      </w:r>
      <w:proofErr w:type="gramEnd"/>
      <w:r w:rsidRPr="00DE4A9F">
        <w:rPr>
          <w:rFonts w:cs="Times New Roman"/>
        </w:rPr>
        <w:t xml:space="preserve"> existence est prouvée ». À mon avis, l’emploi du terme « retour » doit plutôt être compris comme une volonté </w:t>
      </w:r>
      <w:r w:rsidRPr="00DE4A9F">
        <w:rPr>
          <w:rFonts w:cs="Times New Roman"/>
          <w:bdr w:val="none" w:sz="0" w:space="0" w:color="auto" w:frame="1"/>
        </w:rPr>
        <w:t xml:space="preserve">de subsumer la notion de « preuve d’existence » sous celle de retour. Cette modification s’inscrit dans le vœu exprimé du législateur de </w:t>
      </w:r>
      <w:r w:rsidRPr="00DE4A9F">
        <w:rPr>
          <w:rFonts w:cs="Times New Roman"/>
        </w:rPr>
        <w:t xml:space="preserve">simplifier le régime de l’absence et, partant, son vocabulaire, sans altérer la possibilité que la réapparition ou la preuve de </w:t>
      </w:r>
      <w:r w:rsidRPr="00DE4A9F">
        <w:rPr>
          <w:rFonts w:cs="Times New Roman"/>
        </w:rPr>
        <w:lastRenderedPageBreak/>
        <w:t xml:space="preserve">l’existence actuelle suffise à renverser la présomption de décès (ORCC, </w:t>
      </w:r>
      <w:r w:rsidRPr="00DE4A9F">
        <w:rPr>
          <w:rFonts w:cs="Times New Roman"/>
          <w:i/>
        </w:rPr>
        <w:t>Rapport sur le Code civil du Québec</w:t>
      </w:r>
      <w:r w:rsidRPr="00DE4A9F">
        <w:rPr>
          <w:rFonts w:cs="Times New Roman"/>
        </w:rPr>
        <w:t>, vol. II, t. 1,</w:t>
      </w:r>
      <w:r w:rsidRPr="00DE4A9F">
        <w:rPr>
          <w:rFonts w:cs="Times New Roman"/>
          <w:i/>
        </w:rPr>
        <w:t xml:space="preserve"> Commentaires</w:t>
      </w:r>
      <w:r w:rsidRPr="00DE4A9F">
        <w:rPr>
          <w:rFonts w:cs="Times New Roman"/>
        </w:rPr>
        <w:t xml:space="preserve"> (1978), p. 75). </w:t>
      </w:r>
    </w:p>
    <w:p w14:paraId="050BD4B6" w14:textId="77777777" w:rsidR="00DE4A9F" w:rsidRPr="00DE4A9F" w:rsidRDefault="00DE4A9F" w:rsidP="00DE4A9F">
      <w:pPr>
        <w:pStyle w:val="ParaNoNdepar-AltN"/>
        <w:rPr>
          <w:rFonts w:cs="Times New Roman"/>
          <w:bCs/>
        </w:rPr>
      </w:pPr>
      <w:r w:rsidRPr="00DE4A9F">
        <w:rPr>
          <w:rFonts w:cs="Times New Roman"/>
        </w:rPr>
        <w:t xml:space="preserve">Cette interprétation s’harmonise également avec l’objectif du législateur, qui, par la réforme du </w:t>
      </w:r>
      <w:r w:rsidRPr="00DE4A9F">
        <w:rPr>
          <w:rFonts w:cs="Times New Roman"/>
          <w:i/>
        </w:rPr>
        <w:t>Code civil du Québec</w:t>
      </w:r>
      <w:r w:rsidRPr="00DE4A9F">
        <w:rPr>
          <w:rFonts w:cs="Times New Roman"/>
        </w:rPr>
        <w:t xml:space="preserve">, visait à garantir l’intégrité et la fiabilité du registre de l’état civil. En créant le registre de l’état civil, le législateur a institué un mécanisme officiel centralisé de constatation de l’état des personnes (Goubau, par. 377). Le jugement déclaratif de décès s’inscrit dans ce dispositif, puisqu’il oblige le directeur de l’état civil à dresser un acte de décès (art. 129 et 133 </w:t>
      </w:r>
      <w:r w:rsidRPr="00DE4A9F">
        <w:rPr>
          <w:rFonts w:cs="Times New Roman"/>
          <w:i/>
        </w:rPr>
        <w:t>C.c.Q.</w:t>
      </w:r>
      <w:r w:rsidRPr="00DE4A9F">
        <w:rPr>
          <w:rFonts w:cs="Times New Roman"/>
        </w:rPr>
        <w:t xml:space="preserve">). Fidèles à l’esprit de la réforme, les actes de l’état civil doivent refléter la réalité de la situation juridique et factuelle des personnes, afin de remplir leur fonction première, soit de renseigner fidèlement le public. </w:t>
      </w:r>
      <w:r w:rsidRPr="00DE4A9F">
        <w:rPr>
          <w:rFonts w:cs="Times New Roman"/>
          <w:bCs/>
        </w:rPr>
        <w:t xml:space="preserve">Cette finalité renforce l’idée que la notion de retour doit être interprétée largement, de manière à inclure la possibilité que la preuve de faits modificateurs puisse permettre d’harmoniser la réalité juridique avec la réalité factuelle. Une interprétation contraire, qui impliquerait de tolérer qu’une personne déclarée décédée qu’on sait encore en vie à l’étranger demeure dépourvue de personnalité juridique au regard du droit québécois, irait à l’encontre de l’objectif du régime de l’absence, ainsi que de l’essence et de la raison d’être du registre de l’état civil. </w:t>
      </w:r>
    </w:p>
    <w:p w14:paraId="31EC0F6D" w14:textId="77777777" w:rsidR="00DE4A9F" w:rsidRPr="00DE4A9F" w:rsidRDefault="00DE4A9F" w:rsidP="00DE4A9F">
      <w:pPr>
        <w:pStyle w:val="ParaNoNdepar-AltN"/>
        <w:rPr>
          <w:rFonts w:cs="Times New Roman"/>
        </w:rPr>
      </w:pPr>
      <w:r w:rsidRPr="00DE4A9F">
        <w:rPr>
          <w:rFonts w:cs="Times New Roman"/>
        </w:rPr>
        <w:t xml:space="preserve">Finalement, une interprétation trop littérale du terme pourrait donner lieu à des résultats absurdes, comme l’a si justement souligné la Cour d’appel du Québec dans ses motifs. Une interprétation stricte permettrait d’échapper aux effets non désirés de </w:t>
      </w:r>
      <w:r w:rsidRPr="00DE4A9F">
        <w:rPr>
          <w:rFonts w:cs="Times New Roman"/>
        </w:rPr>
        <w:lastRenderedPageBreak/>
        <w:t xml:space="preserve">l’annulation du jugement déclaratif de décès. Les ayant-droits d’une personne déclarée décédée pourraient par exemple continuer de bénéficier des droits conditionnels à son décès, comme le versement d’une indemnité d’assurance-vie ou d’une rente du conjoint survivant, dans la mesure </w:t>
      </w:r>
      <w:r w:rsidRPr="00DE4A9F">
        <w:rPr>
          <w:rFonts w:cs="Times New Roman"/>
          <w:bCs/>
        </w:rPr>
        <w:t>où</w:t>
      </w:r>
      <w:r w:rsidRPr="00DE4A9F">
        <w:rPr>
          <w:rFonts w:cs="Times New Roman"/>
        </w:rPr>
        <w:t xml:space="preserve"> le revenant n’étant pas réapparu au Québec, son état ne pourrait être modifié dans les registres de l’état civil. </w:t>
      </w:r>
    </w:p>
    <w:p w14:paraId="4818A31C" w14:textId="77777777" w:rsidR="00DE4A9F" w:rsidRPr="00DE4A9F" w:rsidRDefault="00DE4A9F" w:rsidP="00DE4A9F">
      <w:pPr>
        <w:pStyle w:val="ParaNoNdepar-AltN"/>
        <w:rPr>
          <w:rFonts w:cs="Times New Roman"/>
        </w:rPr>
      </w:pPr>
      <w:r w:rsidRPr="00DE4A9F">
        <w:rPr>
          <w:rFonts w:cs="Times New Roman"/>
        </w:rPr>
        <w:t xml:space="preserve">De même, une personne pourrait tenter de fuir ses créanciers et la police en se cachant indéfiniment à l’extérieur du territoire où elle est recherchée. Une telle interprétation cautionnerait une forme de « fraude à la loi » en permettant à des gens d’éluder les effets du mécanisme du retour, et de contrecarrer la raison d’être de la disposition (Côté et Devinat, par. 1434, citant </w:t>
      </w:r>
      <w:r w:rsidRPr="00DE4A9F">
        <w:rPr>
          <w:rFonts w:cs="Times New Roman"/>
          <w:i/>
        </w:rPr>
        <w:t>Fox c. Bishop of Chester</w:t>
      </w:r>
      <w:r w:rsidRPr="00DE4A9F">
        <w:rPr>
          <w:rFonts w:cs="Times New Roman"/>
        </w:rPr>
        <w:t xml:space="preserve"> (1829), 1 Dow &amp; Clark 416, 6 E.R. 581, p. 586). Comme l’enseignent les professeurs Côté et Devinat, les tribunaux doivent exiger de toute personne « un respect réel et authentique du texte législatif, et non un respect simplement formel » (par. 1435). </w:t>
      </w:r>
    </w:p>
    <w:p w14:paraId="74365331" w14:textId="77777777" w:rsidR="00DE4A9F" w:rsidRPr="00DE4A9F" w:rsidRDefault="00DE4A9F" w:rsidP="00DE4A9F">
      <w:pPr>
        <w:pStyle w:val="ParaNoNdepar-AltN"/>
        <w:rPr>
          <w:rFonts w:cs="Times New Roman"/>
        </w:rPr>
      </w:pPr>
      <w:r w:rsidRPr="00DE4A9F">
        <w:rPr>
          <w:rFonts w:cs="Times New Roman"/>
        </w:rPr>
        <w:t xml:space="preserve">Cette interprétation s’inscrit également dans la volonté du législateur d’adapter le régime de l’absence aux réalités contemporaines. La mondialisation et la rapidité des communications ont profondément transformé les conditions dans lesquelles une personne peut disparaître, être retracée ou réapparaître. Cette réalité a conduit le législateur, sur la recommandation de l’ORCC, à réduire à sept ans le délai permettant de présumer le décès d’une personne disparue, rompant ainsi avec le délai de 30 ans que prévoyait le </w:t>
      </w:r>
      <w:r w:rsidRPr="00DE4A9F">
        <w:rPr>
          <w:rFonts w:cs="Times New Roman"/>
          <w:i/>
        </w:rPr>
        <w:t>Code civil du Bas-Canada</w:t>
      </w:r>
      <w:r w:rsidRPr="00DE4A9F">
        <w:rPr>
          <w:rFonts w:cs="Times New Roman"/>
        </w:rPr>
        <w:t xml:space="preserve">. </w:t>
      </w:r>
      <w:bookmarkStart w:id="15" w:name="_Hlk224638932"/>
      <w:r w:rsidRPr="00DE4A9F">
        <w:rPr>
          <w:rFonts w:cs="Times New Roman"/>
        </w:rPr>
        <w:t xml:space="preserve">Dans ses commentaires à cet égard, l’ORCC précise en effet que, « [é]tant donné la vitesse des communications à </w:t>
      </w:r>
      <w:r w:rsidRPr="00DE4A9F">
        <w:rPr>
          <w:rFonts w:cs="Times New Roman"/>
        </w:rPr>
        <w:lastRenderedPageBreak/>
        <w:t xml:space="preserve">l’heure actuelle, ce délai </w:t>
      </w:r>
      <w:r w:rsidRPr="00DE4A9F">
        <w:rPr>
          <w:rFonts w:cs="Times New Roman"/>
          <w:lang w:val="fr-FR"/>
        </w:rPr>
        <w:t>[</w:t>
      </w:r>
      <w:r w:rsidRPr="00DE4A9F">
        <w:rPr>
          <w:rFonts w:cs="Times New Roman"/>
        </w:rPr>
        <w:t>de sept ans</w:t>
      </w:r>
      <w:r w:rsidRPr="00DE4A9F">
        <w:rPr>
          <w:rFonts w:cs="Times New Roman"/>
          <w:lang w:val="fr-FR"/>
        </w:rPr>
        <w:t>]</w:t>
      </w:r>
      <w:r w:rsidRPr="00DE4A9F">
        <w:rPr>
          <w:rFonts w:cs="Times New Roman"/>
        </w:rPr>
        <w:t xml:space="preserve"> a paru d’une durée suffisante pour présumer que la personne dont on n’a pas de nouvelles est décédée » (</w:t>
      </w:r>
      <w:r w:rsidRPr="00DE4A9F">
        <w:rPr>
          <w:rFonts w:cs="Times New Roman"/>
          <w:i/>
        </w:rPr>
        <w:t>Rapport sur le Code civil du Québec</w:t>
      </w:r>
      <w:r w:rsidRPr="00DE4A9F">
        <w:rPr>
          <w:rFonts w:cs="Times New Roman"/>
        </w:rPr>
        <w:t>, vol. II, t. 1, p. 75).</w:t>
      </w:r>
      <w:bookmarkEnd w:id="15"/>
      <w:r w:rsidRPr="00DE4A9F">
        <w:rPr>
          <w:rFonts w:cs="Times New Roman"/>
        </w:rPr>
        <w:t xml:space="preserve"> Comme le souligne la juge de première instance, une personne disparue est aujourd’hui susceptible de réapparaître n’importe où dans le monde. Cette réalité exacerbe l’incertitude relative à l’état d’une personne et milite en faveur d’une interprétation plus large de la notion de retour, qui écarte toute limite géographique. </w:t>
      </w:r>
    </w:p>
    <w:p w14:paraId="63227FD3" w14:textId="77777777" w:rsidR="00DE4A9F" w:rsidRPr="00DE4A9F" w:rsidRDefault="00DE4A9F" w:rsidP="00DE4A9F">
      <w:pPr>
        <w:pStyle w:val="ParaNoNdepar-AltN"/>
        <w:rPr>
          <w:rFonts w:cs="Times New Roman"/>
        </w:rPr>
      </w:pPr>
      <w:r w:rsidRPr="00DE4A9F">
        <w:rPr>
          <w:rFonts w:cs="Times New Roman"/>
        </w:rPr>
        <w:t xml:space="preserve">Une précision relative à la temporalité du retour s’impose néanmoins. La preuve de la réapparition de l’absent doit être, en partie du moins, postérieure au jugement déclaratif de décès. En effet, comme l’enseigne notre Cour dans </w:t>
      </w:r>
      <w:r w:rsidRPr="00DE4A9F">
        <w:rPr>
          <w:rFonts w:cs="Times New Roman"/>
          <w:i/>
        </w:rPr>
        <w:t>Threlfall</w:t>
      </w:r>
      <w:r w:rsidRPr="00DE4A9F">
        <w:rPr>
          <w:rFonts w:cs="Times New Roman"/>
        </w:rPr>
        <w:t xml:space="preserve">, ce jugement marque un point de démarcation dans la chronologie de la vie du disparu. Après son prononcé, le </w:t>
      </w:r>
      <w:r w:rsidRPr="00DE4A9F">
        <w:rPr>
          <w:rFonts w:cs="Times New Roman"/>
          <w:i/>
        </w:rPr>
        <w:t xml:space="preserve">Code civil du Québec </w:t>
      </w:r>
      <w:r w:rsidRPr="00DE4A9F">
        <w:rPr>
          <w:rFonts w:cs="Times New Roman"/>
        </w:rPr>
        <w:t>cristallise la présomption de vie qui a cours pendant les sept années suivant la disparition. L’objectif est d’assurer un degré de certitude aux personnes intéressées (</w:t>
      </w:r>
      <w:r w:rsidRPr="00DE4A9F">
        <w:rPr>
          <w:rFonts w:cs="Times New Roman"/>
          <w:i/>
        </w:rPr>
        <w:t>Threlfall</w:t>
      </w:r>
      <w:r w:rsidRPr="00DE4A9F">
        <w:rPr>
          <w:rFonts w:cs="Times New Roman"/>
        </w:rPr>
        <w:t>, par. 54).</w:t>
      </w:r>
      <w:r w:rsidRPr="00DE4A9F">
        <w:rPr>
          <w:rFonts w:eastAsia="Times New Roman" w:cs="Times New Roman"/>
          <w:szCs w:val="24"/>
          <w:lang w:eastAsia="en-CA"/>
        </w:rPr>
        <w:t xml:space="preserve"> </w:t>
      </w:r>
      <w:r w:rsidRPr="00DE4A9F">
        <w:rPr>
          <w:rFonts w:cs="Times New Roman"/>
        </w:rPr>
        <w:t xml:space="preserve">À titre d’exemple, si l’on découvrait, après une déclaration judiciaire de décès, que l’absent était en réalité décédé trois ans après sa disparition, le </w:t>
      </w:r>
      <w:r w:rsidRPr="00DE4A9F">
        <w:rPr>
          <w:rFonts w:cs="Times New Roman"/>
          <w:i/>
        </w:rPr>
        <w:t>Code civil du Québec</w:t>
      </w:r>
      <w:r w:rsidRPr="00DE4A9F">
        <w:rPr>
          <w:rFonts w:cs="Times New Roman"/>
        </w:rPr>
        <w:t xml:space="preserve"> ne permettrait pas que ce fait l’emporte sur la date fictive fixée par le jugement, à moins que cette date ait une incidence sur la date de la dissolution du régime matrimonial ou d’union civile ou l’ouverture du droit au partage du patrimoine d’union parentale et de la succession de l’absent (art. 96</w:t>
      </w:r>
      <w:r w:rsidRPr="00DE4A9F">
        <w:rPr>
          <w:rFonts w:cs="Times New Roman"/>
          <w:i/>
          <w:iCs/>
        </w:rPr>
        <w:t> C.c.Q.</w:t>
      </w:r>
      <w:r w:rsidRPr="00DE4A9F">
        <w:rPr>
          <w:rFonts w:cs="Times New Roman"/>
        </w:rPr>
        <w:t>; Goubau, par. 59</w:t>
      </w:r>
      <w:r w:rsidRPr="00DE4A9F">
        <w:rPr>
          <w:rFonts w:cs="Times New Roman"/>
        </w:rPr>
        <w:noBreakHyphen/>
        <w:t>62; Gascon et Gelfusa, n</w:t>
      </w:r>
      <w:r w:rsidRPr="00DE4A9F">
        <w:rPr>
          <w:rFonts w:cs="Times New Roman"/>
          <w:vertAlign w:val="superscript"/>
        </w:rPr>
        <w:t>os</w:t>
      </w:r>
      <w:r w:rsidRPr="00DE4A9F">
        <w:rPr>
          <w:rFonts w:cs="Times New Roman"/>
        </w:rPr>
        <w:t> 20</w:t>
      </w:r>
      <w:r w:rsidRPr="00DE4A9F">
        <w:rPr>
          <w:rFonts w:cs="Times New Roman"/>
        </w:rPr>
        <w:noBreakHyphen/>
        <w:t xml:space="preserve">34). De même, le </w:t>
      </w:r>
      <w:r w:rsidRPr="00DE4A9F">
        <w:rPr>
          <w:rFonts w:cs="Times New Roman"/>
          <w:i/>
        </w:rPr>
        <w:t>Code civil du Québec</w:t>
      </w:r>
      <w:r w:rsidRPr="00DE4A9F">
        <w:rPr>
          <w:rFonts w:cs="Times New Roman"/>
        </w:rPr>
        <w:t xml:space="preserve"> ne permet pas davantage d’invoquer une preuve de vie antérieure au jugement déclaratif de décès pour en demander l’annulation. </w:t>
      </w:r>
    </w:p>
    <w:p w14:paraId="3D8EB9C3" w14:textId="77777777" w:rsidR="00DE4A9F" w:rsidRPr="00DE4A9F" w:rsidRDefault="00DE4A9F" w:rsidP="00DE4A9F">
      <w:pPr>
        <w:pStyle w:val="ParaNoNdepar-AltN"/>
        <w:rPr>
          <w:rFonts w:cs="Times New Roman"/>
        </w:rPr>
      </w:pPr>
      <w:r w:rsidRPr="00DE4A9F">
        <w:rPr>
          <w:rFonts w:cs="Times New Roman"/>
        </w:rPr>
        <w:lastRenderedPageBreak/>
        <w:t xml:space="preserve">Cette interprétation renforce la sécurité juridique. On ne saurait par exemple annuler un jugement déclaratif de décès d’une personne disparue depuis huit ans au seul motif qu’un témoin affirmerait l’avoir aperçue deux ans après sa disparition, alors qu’aucune nouvelle n’aurait été donnée depuis. Lorsque le jugement déclaratif est prononcé, la personne disparue est présumée vivante durant les sept années suivant sa disparition, et l’apparition de cette personne conforte, plutôt qu’infirme, cette présomption. </w:t>
      </w:r>
    </w:p>
    <w:p w14:paraId="27794E33" w14:textId="77777777" w:rsidR="00DE4A9F" w:rsidRPr="00DE4A9F" w:rsidRDefault="00DE4A9F" w:rsidP="00DE4A9F">
      <w:pPr>
        <w:pStyle w:val="ParaNoNdepar-AltN"/>
        <w:rPr>
          <w:rFonts w:cs="Times New Roman"/>
        </w:rPr>
      </w:pPr>
      <w:r w:rsidRPr="00DE4A9F">
        <w:rPr>
          <w:rFonts w:cs="Times New Roman"/>
        </w:rPr>
        <w:t xml:space="preserve">Avant le prononcé du jugement déclaratif de décès, toute personne intéressée peut soumettre au tribunal des éléments de preuve démontrant que les conditions du régime de l’absence ne sont plus réunies. De cette façon, la réception de nouvelles ou la preuve de l’existence actuelle de l’absent fera basculer la situation de l’absent à celle de simple </w:t>
      </w:r>
      <w:r w:rsidRPr="00DE4A9F">
        <w:rPr>
          <w:rFonts w:cs="Times New Roman"/>
          <w:i/>
        </w:rPr>
        <w:t>non-présent</w:t>
      </w:r>
      <w:r w:rsidRPr="00DE4A9F">
        <w:rPr>
          <w:rFonts w:cs="Times New Roman"/>
        </w:rPr>
        <w:t xml:space="preserve"> (Goubau, par. 73; Cloutier, p. 256; H. Roch, </w:t>
      </w:r>
      <w:r w:rsidRPr="00DE4A9F">
        <w:rPr>
          <w:rFonts w:cs="Times New Roman"/>
          <w:i/>
        </w:rPr>
        <w:t>L’absence</w:t>
      </w:r>
      <w:r w:rsidRPr="00DE4A9F">
        <w:rPr>
          <w:rFonts w:cs="Times New Roman"/>
        </w:rPr>
        <w:t xml:space="preserve"> (1951), p. 31; F. Talandier, </w:t>
      </w:r>
      <w:r w:rsidRPr="00DE4A9F">
        <w:rPr>
          <w:rFonts w:cs="Times New Roman"/>
          <w:i/>
        </w:rPr>
        <w:t>Nouveau traité des absens</w:t>
      </w:r>
      <w:r w:rsidRPr="00DE4A9F">
        <w:rPr>
          <w:rFonts w:cs="Times New Roman"/>
        </w:rPr>
        <w:t xml:space="preserve"> (1831), p. 8-9; A.-T. Desquiron</w:t>
      </w:r>
      <w:r w:rsidRPr="00DE4A9F">
        <w:rPr>
          <w:rFonts w:cs="Times New Roman"/>
          <w:i/>
        </w:rPr>
        <w:t>, Traité du domicile et de l’absence</w:t>
      </w:r>
      <w:r w:rsidRPr="00DE4A9F">
        <w:rPr>
          <w:rFonts w:cs="Times New Roman"/>
        </w:rPr>
        <w:t xml:space="preserve"> (1812), p. 162). </w:t>
      </w:r>
    </w:p>
    <w:p w14:paraId="73B9C4A1" w14:textId="77777777" w:rsidR="00DE4A9F" w:rsidRPr="00DE4A9F" w:rsidRDefault="00DE4A9F" w:rsidP="00DE4A9F">
      <w:pPr>
        <w:pStyle w:val="ParaNoNdepar-AltN"/>
        <w:rPr>
          <w:rFonts w:cs="Times New Roman"/>
        </w:rPr>
      </w:pPr>
      <w:r w:rsidRPr="00DE4A9F">
        <w:rPr>
          <w:rFonts w:cs="Times New Roman"/>
        </w:rPr>
        <w:t xml:space="preserve">Il importe à cet égard de distinguer la notion d’absence au sens juridique, de celle de l’absence au sens commun. Cette dernière renvoie simplement à l’éloignement d’une personne d’un lieu déterminé et correspond, en doctrine, à la situation du « non-présent » (voir B. Py, </w:t>
      </w:r>
      <w:r w:rsidRPr="00DE4A9F">
        <w:rPr>
          <w:rFonts w:cs="Times New Roman"/>
          <w:i/>
          <w:iCs/>
        </w:rPr>
        <w:t>La mort et le droit</w:t>
      </w:r>
      <w:r w:rsidRPr="00DE4A9F">
        <w:rPr>
          <w:rFonts w:cs="Times New Roman"/>
        </w:rPr>
        <w:t xml:space="preserve"> (1997), p. 15). Le </w:t>
      </w:r>
      <w:r w:rsidRPr="00DE4A9F">
        <w:rPr>
          <w:rFonts w:cs="Times New Roman"/>
          <w:i/>
        </w:rPr>
        <w:t>Code civil du Québec</w:t>
      </w:r>
      <w:r w:rsidRPr="00DE4A9F">
        <w:rPr>
          <w:rFonts w:cs="Times New Roman"/>
        </w:rPr>
        <w:t xml:space="preserve"> n’appréhende pas la situation du non-présent de manière spécifique et structurée, contrairement au régime de l’absence. Les effets juridiques de la non-présence varient selon les matières. Le </w:t>
      </w:r>
      <w:r w:rsidRPr="00DE4A9F">
        <w:rPr>
          <w:rFonts w:cs="Times New Roman"/>
          <w:i/>
        </w:rPr>
        <w:t>Code civil du Québec</w:t>
      </w:r>
      <w:r w:rsidRPr="00DE4A9F">
        <w:rPr>
          <w:rFonts w:cs="Times New Roman"/>
        </w:rPr>
        <w:t xml:space="preserve"> prévoit plutôt, de façon </w:t>
      </w:r>
      <w:r w:rsidRPr="00DE4A9F">
        <w:rPr>
          <w:rFonts w:cs="Times New Roman"/>
        </w:rPr>
        <w:lastRenderedPageBreak/>
        <w:t xml:space="preserve">ponctuelle, des mécanismes qui tiennent compte de l’éloignement et qui permettent notamment de prolonger certains délais, de faciliter l’administration des rapports familiaux ou encore d’imposer des sanctions procédurales (Goubau, par. 73). La qualification de « non-présent » permet ainsi d’écarter l’application du régime juridique de l’absence tant qu’il subsiste une preuve de vie. </w:t>
      </w:r>
    </w:p>
    <w:p w14:paraId="38B946FB" w14:textId="77777777" w:rsidR="00DE4A9F" w:rsidRPr="00DE4A9F" w:rsidRDefault="00DE4A9F" w:rsidP="00DE4A9F">
      <w:pPr>
        <w:pStyle w:val="ParaNoNdepar-AltN"/>
        <w:rPr>
          <w:rFonts w:cs="Times New Roman"/>
        </w:rPr>
      </w:pPr>
      <w:r w:rsidRPr="00DE4A9F">
        <w:rPr>
          <w:rFonts w:cs="Times New Roman"/>
        </w:rPr>
        <w:t>Une fois le jugement déclaratif de décès prononcé, seule une preuve de vie de la personne déclarée décédée postérieure à ce jugement permet d’en obtenir l’annulation. L’action en annulation ne saurait en conséquence être assimilée à un appel déguisé du jugement déclaratif de décès, dès lors qu’elle repose sur la production d’éléments nouveaux et actuels établissant l’existence actuelle du non-présent.</w:t>
      </w:r>
    </w:p>
    <w:p w14:paraId="36E4D3A4" w14:textId="77777777" w:rsidR="00DE4A9F" w:rsidRPr="00DE4A9F" w:rsidRDefault="00DE4A9F" w:rsidP="00DE4A9F">
      <w:pPr>
        <w:pStyle w:val="ParaNoNdepar-AltN"/>
        <w:rPr>
          <w:rFonts w:cs="Times New Roman"/>
        </w:rPr>
      </w:pPr>
      <w:r w:rsidRPr="00DE4A9F">
        <w:rPr>
          <w:rFonts w:cs="Times New Roman"/>
        </w:rPr>
        <w:t>Il demeure néanmoins que des éléments antérieurs au jugement déclaratif attestant la vie de la personne déclarée décédée peuvent s’avérer pertinents dans le cadre de la procédure en annulation, puisqu’ils peuvent contribuer à renforcer la démonstration de la survie. Ainsi, la preuve des voyages réalisés dans les années suivant la disparition, de même que celle de la délivrance de passeports et de la réception de prestations d’assurances sociales étayent la preuve de l’existence actuelle de la personne déclarée décédée, même si elles ne suffisent pas à elles seules à prouver son retour.</w:t>
      </w:r>
    </w:p>
    <w:p w14:paraId="039806DC" w14:textId="77777777" w:rsidR="00DE4A9F" w:rsidRPr="00DE4A9F" w:rsidRDefault="00DE4A9F" w:rsidP="00DE4A9F">
      <w:pPr>
        <w:pStyle w:val="ParaNoNdepar-AltN"/>
        <w:rPr>
          <w:rFonts w:cs="Times New Roman"/>
        </w:rPr>
      </w:pPr>
      <w:r w:rsidRPr="00DE4A9F">
        <w:rPr>
          <w:rFonts w:cs="Times New Roman"/>
        </w:rPr>
        <w:t xml:space="preserve">De même, la notion de retour n’exige pas que la preuve soit absolument contemporaine au dépôt de la demande introductive d’instance. Le caractère suffisamment actuel de la preuve est laissé à l’appréciation du juge de première </w:t>
      </w:r>
      <w:r w:rsidRPr="00DE4A9F">
        <w:rPr>
          <w:rFonts w:cs="Times New Roman"/>
        </w:rPr>
        <w:lastRenderedPageBreak/>
        <w:t xml:space="preserve">instance, qui est le mieux placé pour déterminer si une preuve plus ancienne le convainc du retour effectif de la personne déclarée décédée. Un signe de vie spontané et distant ne suffira généralement pas à renverser la présomption de décès. Cependant, une accumulation d’indices concordants, notamment des témoignages oculaires s’échelonnant sur une période plus ou moins récente, des photographies, des lettres ou des documents officiels, pourra convaincre le tribunal qu’il est plus probable qu’improbable que la personne n’ait jamais été décédée. </w:t>
      </w:r>
    </w:p>
    <w:p w14:paraId="7A4BD5F3" w14:textId="77777777" w:rsidR="00DE4A9F" w:rsidRPr="00DE4A9F" w:rsidRDefault="00DE4A9F" w:rsidP="00DE4A9F">
      <w:pPr>
        <w:pStyle w:val="ParaNoNdepar-AltN"/>
        <w:rPr>
          <w:rFonts w:cs="Times New Roman"/>
        </w:rPr>
      </w:pPr>
      <w:r w:rsidRPr="00DE4A9F">
        <w:rPr>
          <w:rFonts w:cs="Times New Roman"/>
        </w:rPr>
        <w:t xml:space="preserve">Je rappelle que, dans la plupart des demandes d’annulation de jugement déclaratif de décès en vertu de l’art. 98 </w:t>
      </w:r>
      <w:r w:rsidRPr="00DE4A9F">
        <w:rPr>
          <w:rFonts w:cs="Times New Roman"/>
          <w:i/>
        </w:rPr>
        <w:t>C.c.Q.</w:t>
      </w:r>
      <w:r w:rsidRPr="00DE4A9F">
        <w:rPr>
          <w:rFonts w:cs="Times New Roman"/>
        </w:rPr>
        <w:t xml:space="preserve">, la question de la preuve du retour et de son caractère suffisamment actuel ne soulèvera pas de difficultés particulières. La personne déclarée décédée se présentera elle-même au tribunal et son existence actuelle sera constatée par un juge. Ce n’est que dans la situation très exceptionnelle, comme celle qui nous occupe, où le « revenant » ne cherche pas à rétablir sa personnalité juridique, que la question de la nature contemporaine de la preuve se pose effectivement. Cette situation peut couvrir une multitude de cas d’espèce, et nécessite toujours, quoique pour des raisons variées, l’annulation du jugement déclaratif de décès. </w:t>
      </w:r>
    </w:p>
    <w:p w14:paraId="4A5BB5AD" w14:textId="77777777" w:rsidR="00DE4A9F" w:rsidRPr="00DE4A9F" w:rsidRDefault="00DE4A9F" w:rsidP="00DE4A9F">
      <w:pPr>
        <w:pStyle w:val="ParaNoNdepar-AltN"/>
        <w:rPr>
          <w:rFonts w:cs="Times New Roman"/>
        </w:rPr>
      </w:pPr>
      <w:r w:rsidRPr="00DE4A9F">
        <w:rPr>
          <w:rFonts w:cs="Times New Roman"/>
        </w:rPr>
        <w:t xml:space="preserve">À titre d’exemple, une personne très recluse pourrait se satisfaire de ne plus faire partie de la société après plus de sept ans sans donner de nouvelles. Elle se trouverait toutefois fort dépourvue si elle devait obtenir des soins dans un hôpital public sans carte d’assurance maladie, et sans possibilité d’en obtenir une. De même, comme </w:t>
      </w:r>
      <w:r w:rsidRPr="00DE4A9F">
        <w:rPr>
          <w:rFonts w:cs="Times New Roman"/>
        </w:rPr>
        <w:lastRenderedPageBreak/>
        <w:t xml:space="preserve">nous l’avons vu, une personne pourrait tenter de se soustraire à la loi ou à ses obligations en simulant sa disparition. Dans cette situation, la personne n’aurait aucun intérêt à se présenter devant le tribunal pour attester son retour. Cette absence ne saurait cependant empêcher ses créanciers d’exercer leur recours ni contraindre des débiteurs à exécuter une obligation subordonnée à son décès, alors qu’il est possible d’établir que la personne en fuite est toujours en vie. Bref, l’extinction de la personnalité juridique emporte de graves conséquences, tant pour la personne concernée que pour les tiers, et la société a tout intérêt à ce qu’un jugement déclaratif de décès prononcé à tort soit annulé. La force probante de la preuve et, partant, son caractère suffisant seront évalués par le juge chargé de trancher la question à la lumière des circonstances particulières de l’affaire, notamment du caractère volontaire d’une disparition. </w:t>
      </w:r>
    </w:p>
    <w:p w14:paraId="3B5584FD" w14:textId="77777777" w:rsidR="00DE4A9F" w:rsidRPr="00DE4A9F" w:rsidRDefault="00DE4A9F" w:rsidP="00DE4A9F">
      <w:pPr>
        <w:pStyle w:val="ParaNoNdepar-AltN"/>
        <w:rPr>
          <w:rFonts w:cs="Times New Roman"/>
        </w:rPr>
      </w:pPr>
      <w:r w:rsidRPr="00DE4A9F">
        <w:rPr>
          <w:rFonts w:cs="Times New Roman"/>
        </w:rPr>
        <w:t xml:space="preserve">Avant de conclure sur l’interprétation du terme « retour », il importe de noter que la notion de retour telle qu’elle est envisagée aux art. 97 et suiv. </w:t>
      </w:r>
      <w:r w:rsidRPr="00DE4A9F">
        <w:rPr>
          <w:rFonts w:cs="Times New Roman"/>
          <w:i/>
        </w:rPr>
        <w:t>C.c.Q.</w:t>
      </w:r>
      <w:r w:rsidRPr="00DE4A9F">
        <w:rPr>
          <w:rFonts w:cs="Times New Roman"/>
        </w:rPr>
        <w:t xml:space="preserve"> doit être distinguée de celle prévue à l’art. 90 </w:t>
      </w:r>
      <w:r w:rsidRPr="00DE4A9F">
        <w:rPr>
          <w:rFonts w:cs="Times New Roman"/>
          <w:i/>
        </w:rPr>
        <w:t>C.c.Q.</w:t>
      </w:r>
      <w:r w:rsidRPr="00DE4A9F">
        <w:rPr>
          <w:rFonts w:cs="Times New Roman"/>
        </w:rPr>
        <w:t xml:space="preserve">, laquelle met fin à la tutelle à l’absent. Le même mot renvoie ici à deux réalités distinctes. </w:t>
      </w:r>
    </w:p>
    <w:p w14:paraId="5ADBC144" w14:textId="77777777" w:rsidR="00DE4A9F" w:rsidRPr="00DE4A9F" w:rsidRDefault="00DE4A9F" w:rsidP="00DE4A9F">
      <w:pPr>
        <w:pStyle w:val="ParaNoNdepar-AltN"/>
        <w:rPr>
          <w:rFonts w:cs="Times New Roman"/>
        </w:rPr>
      </w:pPr>
      <w:r w:rsidRPr="00DE4A9F">
        <w:rPr>
          <w:rFonts w:cs="Times New Roman"/>
        </w:rPr>
        <w:t xml:space="preserve">Dans le contexte de la fin de la tutelle, le terme « retour » doit être compris comme étant le retour physique de l’absent, toujours présumé vivant, à son domicile, ou du moins sa capacité concrète à reprendre l’administration de ses biens. La simple réapparition de l’absent ne permet au contraire pas de mettre fin à la tutelle à l’absent, puisque cette dissolution laisserait ses biens sans protection. Cette interprétation est partagée par la doctrine (M. Beauchamp, avec la collaboration de C. Gilbert, </w:t>
      </w:r>
      <w:r w:rsidRPr="00DE4A9F">
        <w:rPr>
          <w:rFonts w:cs="Times New Roman"/>
          <w:i/>
          <w:iCs/>
        </w:rPr>
        <w:t xml:space="preserve">Tutelle, </w:t>
      </w:r>
      <w:r w:rsidRPr="00DE4A9F">
        <w:rPr>
          <w:rFonts w:cs="Times New Roman"/>
          <w:i/>
          <w:iCs/>
        </w:rPr>
        <w:lastRenderedPageBreak/>
        <w:t>curatelle et mandat de protection</w:t>
      </w:r>
      <w:r w:rsidRPr="00DE4A9F">
        <w:rPr>
          <w:rFonts w:cs="Times New Roman"/>
        </w:rPr>
        <w:t xml:space="preserve"> (2014), p. 169-171; Goubau, par. 53; Roch, p. 68; P.-B. Mignault, </w:t>
      </w:r>
      <w:r w:rsidRPr="00DE4A9F">
        <w:rPr>
          <w:rFonts w:cs="Times New Roman"/>
          <w:i/>
          <w:iCs/>
        </w:rPr>
        <w:t>Le droit civil canadien</w:t>
      </w:r>
      <w:r w:rsidRPr="00DE4A9F">
        <w:rPr>
          <w:rFonts w:cs="Times New Roman"/>
        </w:rPr>
        <w:t xml:space="preserve"> (1895), t. 1, p. 266;</w:t>
      </w:r>
      <w:r w:rsidRPr="00DE4A9F">
        <w:rPr>
          <w:rFonts w:cs="Times New Roman"/>
          <w:szCs w:val="24"/>
          <w:lang w:eastAsia="fr-CA"/>
        </w:rPr>
        <w:t xml:space="preserve"> </w:t>
      </w:r>
      <w:r w:rsidRPr="00DE4A9F">
        <w:rPr>
          <w:rFonts w:cs="Times New Roman"/>
        </w:rPr>
        <w:t xml:space="preserve">G. Trudel, </w:t>
      </w:r>
      <w:r w:rsidRPr="00DE4A9F">
        <w:rPr>
          <w:rFonts w:cs="Times New Roman"/>
          <w:i/>
          <w:iCs/>
        </w:rPr>
        <w:t>Traité de droit civil du Québec</w:t>
      </w:r>
      <w:r w:rsidRPr="00DE4A9F">
        <w:rPr>
          <w:rFonts w:cs="Times New Roman"/>
        </w:rPr>
        <w:t xml:space="preserve"> (1942), t. 1, p. 288), et par l’ORCC qui a écrit ce qui suit : « On s’est demandé s’il fallait prévoir la cessation de la tutelle si l’existence de l’absent venait à être prouvée. En l’absence de retour ou de procuration, il a été jugé préférable de maintenir la tutelle pour la protection même des biens de l’absent » (</w:t>
      </w:r>
      <w:r w:rsidRPr="00DE4A9F">
        <w:rPr>
          <w:rFonts w:cs="Times New Roman"/>
          <w:i/>
        </w:rPr>
        <w:t>Rapport sur le Code civil du Québec</w:t>
      </w:r>
      <w:r w:rsidRPr="00DE4A9F">
        <w:rPr>
          <w:rFonts w:cs="Times New Roman"/>
        </w:rPr>
        <w:t>, vol. II, t. 1, p. 75).</w:t>
      </w:r>
    </w:p>
    <w:p w14:paraId="3B922200" w14:textId="77777777" w:rsidR="00DE4A9F" w:rsidRPr="00DE4A9F" w:rsidRDefault="00DE4A9F" w:rsidP="00DE4A9F">
      <w:pPr>
        <w:pStyle w:val="ParaNoNdepar-AltN"/>
        <w:rPr>
          <w:rFonts w:cs="Times New Roman"/>
          <w:shd w:val="clear" w:color="auto" w:fill="FFFFFF"/>
        </w:rPr>
      </w:pPr>
      <w:r w:rsidRPr="00DE4A9F">
        <w:rPr>
          <w:rFonts w:cs="Times New Roman"/>
          <w:shd w:val="clear" w:color="auto" w:fill="FFFFFF"/>
        </w:rPr>
        <w:t xml:space="preserve">À l’inverse, comme je l’ai souligné, aux art. 97 et suiv. </w:t>
      </w:r>
      <w:r w:rsidRPr="00DE4A9F">
        <w:rPr>
          <w:rFonts w:cs="Times New Roman"/>
          <w:i/>
          <w:shd w:val="clear" w:color="auto" w:fill="FFFFFF"/>
        </w:rPr>
        <w:t>C.c.Q.</w:t>
      </w:r>
      <w:r w:rsidRPr="00DE4A9F">
        <w:rPr>
          <w:rFonts w:cs="Times New Roman"/>
          <w:shd w:val="clear" w:color="auto" w:fill="FFFFFF"/>
        </w:rPr>
        <w:t xml:space="preserve"> le mot « retour » s’entend de la réintégration de la personne présumée décédée dans la vie juridique. Puisque ce retour intervient après le jugement déclaratif de décès, il n’a pas les mêmes effets que celui envisagé par l’art. 90 </w:t>
      </w:r>
      <w:r w:rsidRPr="00DE4A9F">
        <w:rPr>
          <w:rFonts w:cs="Times New Roman"/>
          <w:i/>
          <w:shd w:val="clear" w:color="auto" w:fill="FFFFFF"/>
        </w:rPr>
        <w:t>C.c.Q.</w:t>
      </w:r>
      <w:r w:rsidRPr="00DE4A9F">
        <w:rPr>
          <w:rFonts w:cs="Times New Roman"/>
          <w:shd w:val="clear" w:color="auto" w:fill="FFFFFF"/>
        </w:rPr>
        <w:t xml:space="preserve"> Le patrimoine du revenant n’a plus besoin d’être administré, ayant été dissout. La réapparition de la personne présumée décédée dans un lieu étranger à son domicile n’a aucun effet sur ses biens, lesquels demeurent en la possession de ses héritiers apparents jusqu’à ce qu’il en demande la restitution (art. 101 </w:t>
      </w:r>
      <w:r w:rsidRPr="00DE4A9F">
        <w:rPr>
          <w:rFonts w:cs="Times New Roman"/>
          <w:i/>
          <w:shd w:val="clear" w:color="auto" w:fill="FFFFFF"/>
        </w:rPr>
        <w:t>C.c.Q.</w:t>
      </w:r>
      <w:r w:rsidRPr="00DE4A9F">
        <w:rPr>
          <w:rFonts w:cs="Times New Roman"/>
          <w:shd w:val="clear" w:color="auto" w:fill="FFFFFF"/>
        </w:rPr>
        <w:t>).</w:t>
      </w:r>
    </w:p>
    <w:p w14:paraId="702F1ABC" w14:textId="77777777" w:rsidR="00DE4A9F" w:rsidRPr="00DE4A9F" w:rsidRDefault="00DE4A9F" w:rsidP="00DE4A9F">
      <w:pPr>
        <w:pStyle w:val="ParaNoNdepar-AltN"/>
        <w:rPr>
          <w:rFonts w:cs="Times New Roman"/>
        </w:rPr>
      </w:pPr>
      <w:r w:rsidRPr="00DE4A9F">
        <w:rPr>
          <w:rFonts w:cs="Times New Roman"/>
        </w:rPr>
        <w:t>Ces différentes interprétations emportent certes un renversement de la présomption d’uniformité d’expression, laquelle commande normalement de donner à un mot le même sens lorsque le législateur l’utilise à différents endroits dans une même loi (Côté et Devinat, par. 1142-1150). Comme l’a rappelé notre Cour, il est difficile d’admettre que le législateur emploie les mêmes termes dans deux dispositions intimement liées et leur attribue néanmoins des sens différents (</w:t>
      </w:r>
      <w:r w:rsidRPr="00DE4A9F">
        <w:rPr>
          <w:rFonts w:cs="Times New Roman"/>
          <w:i/>
        </w:rPr>
        <w:t xml:space="preserve">Orphan Well </w:t>
      </w:r>
      <w:r w:rsidRPr="00DE4A9F">
        <w:rPr>
          <w:rFonts w:cs="Times New Roman"/>
          <w:i/>
        </w:rPr>
        <w:lastRenderedPageBreak/>
        <w:t>Association c. Grant Thornton Ltd.</w:t>
      </w:r>
      <w:r w:rsidRPr="00DE4A9F">
        <w:rPr>
          <w:rFonts w:cs="Times New Roman"/>
        </w:rPr>
        <w:t>, 2019 CSC 5, [2019] 1 R.C.S. 150, par. 84). Cette présomption s’inscrit d’ailleurs dans ce que le professeur G. Cornu décrit comme une nécessaire « discipline » du discours législatif, qui veut que, règle générale, un même mot ne soit pas employé dans des sens différents au sein d’une loi (</w:t>
      </w:r>
      <w:r w:rsidRPr="00DE4A9F">
        <w:rPr>
          <w:rFonts w:cs="Times New Roman"/>
          <w:i/>
        </w:rPr>
        <w:t>Linguistique juridique</w:t>
      </w:r>
      <w:r w:rsidRPr="00DE4A9F">
        <w:rPr>
          <w:rFonts w:cs="Times New Roman"/>
        </w:rPr>
        <w:t xml:space="preserve"> (3</w:t>
      </w:r>
      <w:r w:rsidRPr="00DE4A9F">
        <w:rPr>
          <w:rFonts w:cs="Times New Roman"/>
          <w:vertAlign w:val="superscript"/>
        </w:rPr>
        <w:t>e</w:t>
      </w:r>
      <w:r w:rsidRPr="00DE4A9F">
        <w:rPr>
          <w:rFonts w:cs="Times New Roman"/>
        </w:rPr>
        <w:t xml:space="preserve"> éd. 2005), p. 105; </w:t>
      </w:r>
      <w:r w:rsidRPr="00DE4A9F">
        <w:rPr>
          <w:rFonts w:cs="Times New Roman"/>
          <w:i/>
        </w:rPr>
        <w:t>R. c. Basque</w:t>
      </w:r>
      <w:r w:rsidRPr="00DE4A9F">
        <w:rPr>
          <w:rFonts w:cs="Times New Roman"/>
        </w:rPr>
        <w:t>, 2023 CSC 18, par. 59).</w:t>
      </w:r>
    </w:p>
    <w:p w14:paraId="5A219C1A" w14:textId="77777777" w:rsidR="00DE4A9F" w:rsidRPr="00DE4A9F" w:rsidRDefault="00DE4A9F" w:rsidP="00DE4A9F">
      <w:pPr>
        <w:pStyle w:val="ParaNoNdepar-AltN"/>
        <w:rPr>
          <w:rFonts w:cs="Times New Roman"/>
        </w:rPr>
      </w:pPr>
      <w:r w:rsidRPr="00DE4A9F">
        <w:rPr>
          <w:rFonts w:cs="Times New Roman"/>
        </w:rPr>
        <w:t xml:space="preserve">Toutefois, cette discipline n’est pas absolue, même dans le contexte d’un code civiliste qui commande des impératifs de cohérence importants. La présomption d’uniformité peut être réfutée lorsque les finalités des régimes comparés et leur contexte divergent (voir </w:t>
      </w:r>
      <w:r w:rsidRPr="00DE4A9F">
        <w:rPr>
          <w:rFonts w:cs="Times New Roman"/>
          <w:i/>
          <w:iCs/>
        </w:rPr>
        <w:t>R.</w:t>
      </w:r>
      <w:r w:rsidRPr="00DE4A9F">
        <w:rPr>
          <w:rFonts w:cs="Times New Roman"/>
        </w:rPr>
        <w:t> </w:t>
      </w:r>
      <w:r w:rsidRPr="00DE4A9F">
        <w:rPr>
          <w:rFonts w:cs="Times New Roman"/>
          <w:i/>
        </w:rPr>
        <w:t>c.</w:t>
      </w:r>
      <w:r w:rsidRPr="00DE4A9F">
        <w:rPr>
          <w:rFonts w:cs="Times New Roman"/>
        </w:rPr>
        <w:t> </w:t>
      </w:r>
      <w:r w:rsidRPr="00DE4A9F">
        <w:rPr>
          <w:rFonts w:cs="Times New Roman"/>
          <w:i/>
          <w:iCs/>
        </w:rPr>
        <w:t>Steele</w:t>
      </w:r>
      <w:r w:rsidRPr="00DE4A9F">
        <w:rPr>
          <w:rFonts w:cs="Times New Roman"/>
        </w:rPr>
        <w:t xml:space="preserve">, 2014 CSC 61, [2014] 3 R.C.S. 138, par. 65; </w:t>
      </w:r>
      <w:r w:rsidRPr="00DE4A9F">
        <w:rPr>
          <w:rFonts w:cs="Times New Roman"/>
          <w:i/>
          <w:iCs/>
        </w:rPr>
        <w:t>R.</w:t>
      </w:r>
      <w:r w:rsidRPr="00DE4A9F">
        <w:rPr>
          <w:rFonts w:cs="Times New Roman"/>
        </w:rPr>
        <w:t> </w:t>
      </w:r>
      <w:r w:rsidRPr="00DE4A9F">
        <w:rPr>
          <w:rFonts w:cs="Times New Roman"/>
          <w:i/>
        </w:rPr>
        <w:t>c.</w:t>
      </w:r>
      <w:r w:rsidRPr="00DE4A9F">
        <w:rPr>
          <w:rFonts w:cs="Times New Roman"/>
        </w:rPr>
        <w:t> </w:t>
      </w:r>
      <w:r w:rsidRPr="00DE4A9F">
        <w:rPr>
          <w:rFonts w:cs="Times New Roman"/>
          <w:i/>
          <w:iCs/>
        </w:rPr>
        <w:t>Paré</w:t>
      </w:r>
      <w:r w:rsidRPr="00DE4A9F">
        <w:rPr>
          <w:rFonts w:cs="Times New Roman"/>
        </w:rPr>
        <w:t>, [1987] 2 R.C.S. 618, p. 627;</w:t>
      </w:r>
      <w:r w:rsidRPr="00DE4A9F">
        <w:rPr>
          <w:rFonts w:eastAsia="Times New Roman" w:cs="Times New Roman"/>
          <w:i/>
          <w:iCs/>
          <w:sz w:val="21"/>
          <w:szCs w:val="21"/>
          <w:shd w:val="clear" w:color="auto" w:fill="FFFFFF"/>
          <w:lang w:eastAsia="en-CA"/>
        </w:rPr>
        <w:t xml:space="preserve"> </w:t>
      </w:r>
      <w:r w:rsidRPr="00DE4A9F">
        <w:rPr>
          <w:rFonts w:cs="Times New Roman"/>
          <w:i/>
          <w:iCs/>
        </w:rPr>
        <w:t>Sommers</w:t>
      </w:r>
      <w:r w:rsidRPr="00DE4A9F">
        <w:rPr>
          <w:rFonts w:cs="Times New Roman"/>
          <w:i/>
        </w:rPr>
        <w:t xml:space="preserve"> c. </w:t>
      </w:r>
      <w:r w:rsidRPr="00DE4A9F">
        <w:rPr>
          <w:rFonts w:cs="Times New Roman"/>
          <w:i/>
          <w:iCs/>
        </w:rPr>
        <w:t>The Queen</w:t>
      </w:r>
      <w:r w:rsidRPr="00DE4A9F">
        <w:rPr>
          <w:rFonts w:cs="Times New Roman"/>
        </w:rPr>
        <w:t xml:space="preserve">, [1959] R.C.S. 678, p. 685; </w:t>
      </w:r>
      <w:r w:rsidRPr="00DE4A9F">
        <w:rPr>
          <w:rFonts w:cs="Times New Roman"/>
          <w:i/>
          <w:iCs/>
        </w:rPr>
        <w:t xml:space="preserve">Goldman </w:t>
      </w:r>
      <w:r w:rsidRPr="00DE4A9F">
        <w:rPr>
          <w:rFonts w:cs="Times New Roman"/>
          <w:i/>
        </w:rPr>
        <w:t xml:space="preserve">c. </w:t>
      </w:r>
      <w:r w:rsidRPr="00DE4A9F">
        <w:rPr>
          <w:rFonts w:cs="Times New Roman"/>
          <w:i/>
          <w:iCs/>
        </w:rPr>
        <w:t>La Reine</w:t>
      </w:r>
      <w:r w:rsidRPr="00DE4A9F">
        <w:rPr>
          <w:rFonts w:cs="Times New Roman"/>
        </w:rPr>
        <w:t xml:space="preserve">, [1980] 1 R.C.S. 976, p. 999). </w:t>
      </w:r>
    </w:p>
    <w:p w14:paraId="566E6A62" w14:textId="77777777" w:rsidR="00DE4A9F" w:rsidRPr="00DE4A9F" w:rsidRDefault="00DE4A9F" w:rsidP="00DE4A9F">
      <w:pPr>
        <w:pStyle w:val="ParaNoNdepar-AltN"/>
        <w:rPr>
          <w:rFonts w:cs="Times New Roman"/>
        </w:rPr>
      </w:pPr>
      <w:r w:rsidRPr="00DE4A9F">
        <w:rPr>
          <w:rFonts w:cs="Times New Roman"/>
        </w:rPr>
        <w:t xml:space="preserve">En l’espèce, même si la tutelle à l’absent et les présomptions de vie et de mort découlent de la disparition de l’absent, elles visent des objectifs différents. La tutelle vise à protéger le patrimoine de l’absent pendant qu’il est présumé vivant, alors que les présomptions visent à stabiliser la situation juridique de la personne disparue et à assurer un certain degré de certitude aux personnes intéressées. Cette interprétation tient ainsi compte de « l’environnement textuel » dans lequel ces termes s’inscrivent et du contexte global qui permet d’en établir le sens véritable (Côté et Devinat, par. 1147; voir aussi les par. 1148-1150). </w:t>
      </w:r>
    </w:p>
    <w:p w14:paraId="64F422BE" w14:textId="77777777" w:rsidR="00DE4A9F" w:rsidRPr="00DE4A9F" w:rsidRDefault="00DE4A9F" w:rsidP="00DE4A9F">
      <w:pPr>
        <w:pStyle w:val="ParaNoNdepar-AltN"/>
        <w:rPr>
          <w:rFonts w:cs="Times New Roman"/>
        </w:rPr>
      </w:pPr>
      <w:r w:rsidRPr="00DE4A9F">
        <w:rPr>
          <w:rFonts w:cs="Times New Roman"/>
        </w:rPr>
        <w:t xml:space="preserve">Il convient de rappeler que le </w:t>
      </w:r>
      <w:r w:rsidRPr="00DE4A9F">
        <w:rPr>
          <w:rFonts w:cs="Times New Roman"/>
          <w:i/>
        </w:rPr>
        <w:t>Projet de Code civil</w:t>
      </w:r>
      <w:r w:rsidRPr="00DE4A9F">
        <w:rPr>
          <w:rFonts w:cs="Times New Roman"/>
        </w:rPr>
        <w:t xml:space="preserve"> de 1978 n’utilisait pas le terme « retour » dans sa version française pour désigner la réapparition d’une </w:t>
      </w:r>
      <w:r w:rsidRPr="00DE4A9F">
        <w:rPr>
          <w:rFonts w:cs="Times New Roman"/>
        </w:rPr>
        <w:lastRenderedPageBreak/>
        <w:t xml:space="preserve">personne déclarée décédée, lui préférant le terme « reparaître », et ne structurait pas les effets du retour dans une section séparée comme dans le </w:t>
      </w:r>
      <w:r w:rsidRPr="00DE4A9F">
        <w:rPr>
          <w:rFonts w:cs="Times New Roman"/>
          <w:i/>
        </w:rPr>
        <w:t>Code civil du Québec</w:t>
      </w:r>
      <w:r w:rsidRPr="00DE4A9F">
        <w:rPr>
          <w:rFonts w:cs="Times New Roman"/>
        </w:rPr>
        <w:t xml:space="preserve"> actuel. Les termes « retour » et « reparaître » renvoyaient donc à deux réalités bien distinctes, et ce n’est que dans la version finale du </w:t>
      </w:r>
      <w:r w:rsidRPr="00DE4A9F">
        <w:rPr>
          <w:rFonts w:cs="Times New Roman"/>
          <w:i/>
        </w:rPr>
        <w:t>Code civil du Québec</w:t>
      </w:r>
      <w:r w:rsidRPr="00DE4A9F">
        <w:rPr>
          <w:rFonts w:cs="Times New Roman"/>
        </w:rPr>
        <w:t xml:space="preserve"> que ces termes ont été amalgamés, chaque occurrence conservant cependant la signification du terme initialement utilisé. Cette double compréhension du mot « retour » ne résulte donc pas d’une hésitation historique, mais d’une évolution rédactionnelle entre la proposition initiale et le texte final. </w:t>
      </w:r>
    </w:p>
    <w:p w14:paraId="04E5B782" w14:textId="77777777" w:rsidR="00DE4A9F" w:rsidRPr="00DE4A9F" w:rsidRDefault="00DE4A9F" w:rsidP="00DE4A9F">
      <w:pPr>
        <w:pStyle w:val="ParaNoNdepar-AltN"/>
        <w:rPr>
          <w:rFonts w:cs="Times New Roman"/>
        </w:rPr>
      </w:pPr>
      <w:r w:rsidRPr="00DE4A9F">
        <w:rPr>
          <w:rFonts w:cs="Times New Roman"/>
        </w:rPr>
        <w:t xml:space="preserve">Aux articles 97 et suiv. </w:t>
      </w:r>
      <w:r w:rsidRPr="00DE4A9F">
        <w:rPr>
          <w:rFonts w:cs="Times New Roman"/>
          <w:i/>
        </w:rPr>
        <w:t>C.c.Q.</w:t>
      </w:r>
      <w:r w:rsidRPr="00DE4A9F">
        <w:rPr>
          <w:rFonts w:cs="Times New Roman"/>
        </w:rPr>
        <w:t xml:space="preserve">, le terme « retour » doit donc être interprété comme désignant la réapparition de la personne déclarée décédée depuis le jugement déclaratif, où qu’elle soit dans le monde, ou plus encore la manifestation de son existence actuelle. À l’article 90 </w:t>
      </w:r>
      <w:r w:rsidRPr="00DE4A9F">
        <w:rPr>
          <w:rFonts w:cs="Times New Roman"/>
          <w:i/>
          <w:iCs/>
        </w:rPr>
        <w:t>C.c.Q.</w:t>
      </w:r>
      <w:r w:rsidRPr="00DE4A9F">
        <w:rPr>
          <w:rFonts w:cs="Times New Roman"/>
          <w:iCs/>
        </w:rPr>
        <w:t xml:space="preserve">, </w:t>
      </w:r>
      <w:r w:rsidRPr="00DE4A9F">
        <w:rPr>
          <w:rFonts w:cs="Times New Roman"/>
        </w:rPr>
        <w:t>le terme « retour » doit plutôt être compris comme désignant le retour physique de la personne absente au Québec.</w:t>
      </w:r>
    </w:p>
    <w:p w14:paraId="7BBD9997" w14:textId="77777777" w:rsidR="00DE4A9F" w:rsidRPr="00DE4A9F" w:rsidRDefault="00DE4A9F" w:rsidP="00DE4A9F">
      <w:pPr>
        <w:pStyle w:val="Title3LevelTitre3Niveau"/>
        <w:numPr>
          <w:ilvl w:val="2"/>
          <w:numId w:val="8"/>
        </w:numPr>
        <w:rPr>
          <w:rFonts w:cs="Times New Roman"/>
        </w:rPr>
      </w:pPr>
      <w:bookmarkStart w:id="16" w:name="_Hlk225499513"/>
      <w:bookmarkEnd w:id="14"/>
      <w:r w:rsidRPr="00DE4A9F">
        <w:rPr>
          <w:rFonts w:cs="Times New Roman"/>
        </w:rPr>
        <w:t>Preuve du retour</w:t>
      </w:r>
    </w:p>
    <w:p w14:paraId="33BA2BDE" w14:textId="77777777" w:rsidR="00DE4A9F" w:rsidRPr="00DE4A9F" w:rsidRDefault="00DE4A9F" w:rsidP="00DE4A9F">
      <w:pPr>
        <w:pStyle w:val="ParaNoNdepar-AltN"/>
        <w:rPr>
          <w:rFonts w:cs="Times New Roman"/>
        </w:rPr>
      </w:pPr>
      <w:bookmarkStart w:id="17" w:name="_Hlk223263398"/>
      <w:r w:rsidRPr="00DE4A9F">
        <w:rPr>
          <w:rFonts w:cs="Times New Roman"/>
        </w:rPr>
        <w:t xml:space="preserve">Se pose maintenant la question, litigieuse en l’espèce, du degré de preuve requis afin de prouver le retour de l’absent. Madame Riddle soutient que le retour de la personne qu’on croyait décédée doit être prouvé avec certitude, de manière à refléter l’intention du législateur qui a voulu, par sa réforme du régime de l’absence, faire primer la certitude juridique sur l’exactitude après l’écoulement des sept années suivant la disparition de l’absent. Ce n’est, plaide-t-elle, que lorsque la certitude et l’exactitude convergent à nouveau pour prouver le retour de l’absent que le jugement déclaratif de </w:t>
      </w:r>
      <w:r w:rsidRPr="00DE4A9F">
        <w:rPr>
          <w:rFonts w:cs="Times New Roman"/>
        </w:rPr>
        <w:lastRenderedPageBreak/>
        <w:t>décès peut être annulé. La Cour d’appel n’a pas tranché la question de la norme de preuve requise, considérant qu’en l’espèce la preuve présentée satisfaisait au seuil, même théorique, de la quasi-certitude. J’estime toutefois qu’un rappel à cet égard est opportun.</w:t>
      </w:r>
    </w:p>
    <w:bookmarkEnd w:id="17"/>
    <w:p w14:paraId="0831C0CA" w14:textId="77777777" w:rsidR="00DE4A9F" w:rsidRPr="00DE4A9F" w:rsidRDefault="00DE4A9F" w:rsidP="00DE4A9F">
      <w:pPr>
        <w:pStyle w:val="ParaNoNdepar-AltN"/>
        <w:rPr>
          <w:rFonts w:cs="Times New Roman"/>
        </w:rPr>
      </w:pPr>
      <w:r w:rsidRPr="00DE4A9F">
        <w:rPr>
          <w:rFonts w:cs="Times New Roman"/>
        </w:rPr>
        <w:t xml:space="preserve">En matière civile, sauf exception prévue par la loi, le droit québécois ne prescrit qu’une seule norme de preuve, soit la prépondérance des probabilités, tel que codifiée à l’art. 2804 </w:t>
      </w:r>
      <w:r w:rsidRPr="00DE4A9F">
        <w:rPr>
          <w:rFonts w:cs="Times New Roman"/>
          <w:i/>
        </w:rPr>
        <w:t>C.c.Q.</w:t>
      </w:r>
      <w:r w:rsidRPr="00DE4A9F">
        <w:rPr>
          <w:rFonts w:cs="Times New Roman"/>
        </w:rPr>
        <w:t xml:space="preserve"> (</w:t>
      </w:r>
      <w:r w:rsidRPr="00DE4A9F">
        <w:rPr>
          <w:rFonts w:cs="Times New Roman"/>
          <w:bCs/>
          <w:i/>
        </w:rPr>
        <w:t>Québec (Commission des droits de la personne et des droits de la jeunesse) c. Bombardier Inc. (Bombardier Aéronautique Centre de formation)</w:t>
      </w:r>
      <w:r w:rsidRPr="00DE4A9F">
        <w:rPr>
          <w:rFonts w:cs="Times New Roman"/>
          <w:bCs/>
        </w:rPr>
        <w:t xml:space="preserve">, 2015 CSC 39, [2015] 2 R.C.S. 789, </w:t>
      </w:r>
      <w:r w:rsidRPr="00DE4A9F">
        <w:rPr>
          <w:rFonts w:cs="Times New Roman"/>
        </w:rPr>
        <w:t>par. 65;</w:t>
      </w:r>
      <w:r w:rsidRPr="00DE4A9F">
        <w:rPr>
          <w:rFonts w:eastAsia="Times New Roman" w:cs="Times New Roman"/>
          <w:i/>
          <w:iCs/>
          <w:sz w:val="21"/>
          <w:szCs w:val="21"/>
          <w:lang w:eastAsia="en-CA"/>
        </w:rPr>
        <w:t xml:space="preserve"> </w:t>
      </w:r>
      <w:r w:rsidRPr="00DE4A9F">
        <w:rPr>
          <w:rFonts w:cs="Times New Roman"/>
          <w:i/>
          <w:iCs/>
        </w:rPr>
        <w:t>Banque Canadienne Nationale c. Mastracchio</w:t>
      </w:r>
      <w:r w:rsidRPr="00DE4A9F">
        <w:rPr>
          <w:rFonts w:cs="Times New Roman"/>
        </w:rPr>
        <w:t xml:space="preserve">, [1962] R.C.S. 53, p. 57; </w:t>
      </w:r>
      <w:r w:rsidRPr="00DE4A9F">
        <w:rPr>
          <w:rFonts w:cs="Times New Roman"/>
          <w:i/>
          <w:iCs/>
        </w:rPr>
        <w:t>Rousseau c. Bennett</w:t>
      </w:r>
      <w:r w:rsidRPr="00DE4A9F">
        <w:rPr>
          <w:rFonts w:cs="Times New Roman"/>
        </w:rPr>
        <w:t xml:space="preserve">, [1956] R.C.S. 89, p. 92-93; </w:t>
      </w:r>
      <w:r w:rsidRPr="00DE4A9F">
        <w:rPr>
          <w:rFonts w:cs="Times New Roman"/>
          <w:i/>
          <w:iCs/>
        </w:rPr>
        <w:t>Parent c. Lapointe</w:t>
      </w:r>
      <w:r w:rsidRPr="00DE4A9F">
        <w:rPr>
          <w:rFonts w:cs="Times New Roman"/>
        </w:rPr>
        <w:t>, [1952] 1 R.C.S. 376, p. 380;</w:t>
      </w:r>
      <w:r w:rsidRPr="00DE4A9F">
        <w:rPr>
          <w:rFonts w:cs="Times New Roman"/>
          <w:sz w:val="20"/>
        </w:rPr>
        <w:t xml:space="preserve"> </w:t>
      </w:r>
      <w:r w:rsidRPr="00DE4A9F">
        <w:rPr>
          <w:rFonts w:cs="Times New Roman"/>
        </w:rPr>
        <w:t xml:space="preserve">C. Piché, </w:t>
      </w:r>
      <w:r w:rsidRPr="00DE4A9F">
        <w:rPr>
          <w:rFonts w:cs="Times New Roman"/>
          <w:i/>
        </w:rPr>
        <w:t>La preuve civile</w:t>
      </w:r>
      <w:r w:rsidRPr="00DE4A9F">
        <w:rPr>
          <w:rFonts w:cs="Times New Roman"/>
        </w:rPr>
        <w:t xml:space="preserve"> (6</w:t>
      </w:r>
      <w:r w:rsidRPr="00DE4A9F">
        <w:rPr>
          <w:rFonts w:cs="Times New Roman"/>
          <w:vertAlign w:val="superscript"/>
        </w:rPr>
        <w:t>e</w:t>
      </w:r>
      <w:r w:rsidRPr="00DE4A9F">
        <w:rPr>
          <w:rFonts w:cs="Times New Roman"/>
        </w:rPr>
        <w:t xml:space="preserve"> éd. 2020), par. 168). En l’espèce, le </w:t>
      </w:r>
      <w:r w:rsidRPr="00DE4A9F">
        <w:rPr>
          <w:rFonts w:cs="Times New Roman"/>
          <w:i/>
        </w:rPr>
        <w:t>Code civil du Québec</w:t>
      </w:r>
      <w:r w:rsidRPr="00DE4A9F">
        <w:rPr>
          <w:rFonts w:cs="Times New Roman"/>
        </w:rPr>
        <w:t xml:space="preserve"> ne soumet pas la preuve du retour de l’absent à un degré de preuve particulier. La question du degré de preuve requis ne pose en conséquence pas de difficulté réelle. </w:t>
      </w:r>
    </w:p>
    <w:p w14:paraId="77BDB063" w14:textId="77777777" w:rsidR="00DE4A9F" w:rsidRPr="00DE4A9F" w:rsidRDefault="00DE4A9F" w:rsidP="00DE4A9F">
      <w:pPr>
        <w:pStyle w:val="ParaNoNdepar-AltN"/>
        <w:rPr>
          <w:rFonts w:cs="Times New Roman"/>
          <w:bCs/>
        </w:rPr>
      </w:pPr>
      <w:r w:rsidRPr="00DE4A9F">
        <w:rPr>
          <w:rFonts w:cs="Times New Roman"/>
          <w:bCs/>
        </w:rPr>
        <w:t xml:space="preserve">En se référant à la notion de certitude pour interpréter un degré de preuve plus élevé, </w:t>
      </w:r>
      <w:r w:rsidRPr="00DE4A9F">
        <w:rPr>
          <w:rFonts w:cs="Times New Roman"/>
        </w:rPr>
        <w:t>M</w:t>
      </w:r>
      <w:r w:rsidRPr="00DE4A9F">
        <w:rPr>
          <w:rFonts w:cs="Times New Roman"/>
          <w:vertAlign w:val="superscript"/>
        </w:rPr>
        <w:t>me</w:t>
      </w:r>
      <w:r w:rsidRPr="00DE4A9F">
        <w:rPr>
          <w:rFonts w:cs="Times New Roman"/>
        </w:rPr>
        <w:t xml:space="preserve"> Riddle </w:t>
      </w:r>
      <w:r w:rsidRPr="00DE4A9F">
        <w:rPr>
          <w:rFonts w:cs="Times New Roman"/>
          <w:bCs/>
        </w:rPr>
        <w:t xml:space="preserve">exagère la portée des principes dégagés dans l’arrêt </w:t>
      </w:r>
      <w:r w:rsidRPr="00DE4A9F">
        <w:rPr>
          <w:rFonts w:cs="Times New Roman"/>
          <w:bCs/>
          <w:i/>
        </w:rPr>
        <w:t>Threlfall</w:t>
      </w:r>
      <w:r w:rsidRPr="00DE4A9F">
        <w:rPr>
          <w:rFonts w:cs="Times New Roman"/>
          <w:bCs/>
        </w:rPr>
        <w:t xml:space="preserve">. Comme le précise notre Cour dans cet arrêt, la certitude considérée par le régime de l’absence dans le </w:t>
      </w:r>
      <w:r w:rsidRPr="00DE4A9F">
        <w:rPr>
          <w:rFonts w:cs="Times New Roman"/>
          <w:bCs/>
          <w:i/>
        </w:rPr>
        <w:t>Code civil du Québec</w:t>
      </w:r>
      <w:r w:rsidRPr="00DE4A9F">
        <w:rPr>
          <w:rFonts w:cs="Times New Roman"/>
          <w:bCs/>
        </w:rPr>
        <w:t xml:space="preserve"> contraste avec la philosophie qui existait sous le régime de l’absence dans le </w:t>
      </w:r>
      <w:r w:rsidRPr="00DE4A9F">
        <w:rPr>
          <w:rFonts w:cs="Times New Roman"/>
          <w:bCs/>
          <w:i/>
        </w:rPr>
        <w:t>Code civil du Bas-Canada</w:t>
      </w:r>
      <w:r w:rsidRPr="00DE4A9F">
        <w:rPr>
          <w:rFonts w:cs="Times New Roman"/>
          <w:bCs/>
        </w:rPr>
        <w:t>,</w:t>
      </w:r>
      <w:r w:rsidRPr="00DE4A9F">
        <w:rPr>
          <w:rFonts w:cs="Times New Roman"/>
          <w:bCs/>
          <w:i/>
        </w:rPr>
        <w:t xml:space="preserve"> </w:t>
      </w:r>
      <w:r w:rsidRPr="00DE4A9F">
        <w:rPr>
          <w:rFonts w:cs="Times New Roman"/>
          <w:bCs/>
        </w:rPr>
        <w:t>o</w:t>
      </w:r>
      <w:r w:rsidRPr="00DE4A9F">
        <w:rPr>
          <w:rFonts w:cs="Times New Roman"/>
        </w:rPr>
        <w:t>ù des délais irréalistes et jamais arrêtés empêchaient la liquidation des régimes matrimoniaux et successoraux</w:t>
      </w:r>
      <w:r w:rsidRPr="00DE4A9F">
        <w:rPr>
          <w:rFonts w:cs="Times New Roman"/>
          <w:bCs/>
        </w:rPr>
        <w:t xml:space="preserve">. L’objectif de certitude désormais consacré s’incarne dans les nouveaux mécanismes du </w:t>
      </w:r>
      <w:r w:rsidRPr="00DE4A9F">
        <w:rPr>
          <w:rFonts w:cs="Times New Roman"/>
          <w:bCs/>
        </w:rPr>
        <w:lastRenderedPageBreak/>
        <w:t xml:space="preserve">régime de l’absence, comme les présomptions de vie et de décès, et le jugement déclaratif, mais il ne saurait être interprété comme s’appliquant à la preuve requise pour établir le retour de la personne déclarée décédée. Une telle interprétation créerait de toutes pièces une norme de preuve que le législateur n’a pas lui-même prescrite. </w:t>
      </w:r>
    </w:p>
    <w:p w14:paraId="4324D035" w14:textId="77777777" w:rsidR="00DE4A9F" w:rsidRPr="00DE4A9F" w:rsidRDefault="00DE4A9F" w:rsidP="00DE4A9F">
      <w:pPr>
        <w:pStyle w:val="ParaNoNdepar-AltN"/>
        <w:rPr>
          <w:rFonts w:cs="Times New Roman"/>
          <w:bCs/>
        </w:rPr>
      </w:pPr>
      <w:r w:rsidRPr="00DE4A9F">
        <w:rPr>
          <w:rFonts w:cs="Times New Roman"/>
        </w:rPr>
        <w:t xml:space="preserve">Madame Riddle </w:t>
      </w:r>
      <w:r w:rsidRPr="00DE4A9F">
        <w:rPr>
          <w:rFonts w:cs="Times New Roman"/>
          <w:bCs/>
        </w:rPr>
        <w:t xml:space="preserve">fait par ailleurs fi des principaux enseignements formulés par notre Cour dans </w:t>
      </w:r>
      <w:r w:rsidRPr="00DE4A9F">
        <w:rPr>
          <w:rFonts w:cs="Times New Roman"/>
          <w:bCs/>
          <w:i/>
        </w:rPr>
        <w:t>Threlfall</w:t>
      </w:r>
      <w:r w:rsidRPr="00DE4A9F">
        <w:rPr>
          <w:rFonts w:cs="Times New Roman"/>
          <w:bCs/>
        </w:rPr>
        <w:t xml:space="preserve">, qui rappelle que les présomptions de vie et de décès consacrées par le </w:t>
      </w:r>
      <w:r w:rsidRPr="00DE4A9F">
        <w:rPr>
          <w:rFonts w:cs="Times New Roman"/>
          <w:bCs/>
          <w:i/>
        </w:rPr>
        <w:t>Code</w:t>
      </w:r>
      <w:r w:rsidRPr="00DE4A9F">
        <w:rPr>
          <w:rFonts w:cs="Times New Roman"/>
          <w:bCs/>
        </w:rPr>
        <w:t xml:space="preserve"> </w:t>
      </w:r>
      <w:r w:rsidRPr="00DE4A9F">
        <w:rPr>
          <w:rFonts w:cs="Times New Roman"/>
          <w:bCs/>
          <w:i/>
        </w:rPr>
        <w:t>civil du Québec</w:t>
      </w:r>
      <w:r w:rsidRPr="00DE4A9F">
        <w:rPr>
          <w:rFonts w:cs="Times New Roman"/>
          <w:bCs/>
        </w:rPr>
        <w:t xml:space="preserve"> ne sont que des présomptions simples, au sens de l’art. 2847 </w:t>
      </w:r>
      <w:r w:rsidRPr="00DE4A9F">
        <w:rPr>
          <w:rFonts w:cs="Times New Roman"/>
          <w:bCs/>
          <w:i/>
        </w:rPr>
        <w:t>C.c.Q.</w:t>
      </w:r>
      <w:r w:rsidRPr="00DE4A9F">
        <w:rPr>
          <w:rFonts w:cs="Times New Roman"/>
          <w:bCs/>
        </w:rPr>
        <w:t>, qui peuvent toujours être réfutées par une preuve contraire.</w:t>
      </w:r>
      <w:r w:rsidRPr="00DE4A9F">
        <w:rPr>
          <w:rFonts w:cs="Times New Roman"/>
        </w:rPr>
        <w:t xml:space="preserve"> </w:t>
      </w:r>
      <w:r w:rsidRPr="00DE4A9F">
        <w:rPr>
          <w:rFonts w:cs="Times New Roman"/>
          <w:bCs/>
        </w:rPr>
        <w:t>Comme le note le juge en chef Fournier, « [u]n jugement rendu en vertu de l’article 92 C.c.Q. n’est que déclaratif d’un décès, il n’en établit pas le fait » (</w:t>
      </w:r>
      <w:r w:rsidRPr="00DE4A9F">
        <w:rPr>
          <w:rFonts w:cs="Times New Roman"/>
          <w:bCs/>
          <w:i/>
        </w:rPr>
        <w:t>D.C.R.</w:t>
      </w:r>
      <w:r w:rsidRPr="00DE4A9F">
        <w:rPr>
          <w:rFonts w:cs="Times New Roman"/>
          <w:bCs/>
        </w:rPr>
        <w:t xml:space="preserve">, par. 29). Au risque de me répéter, le législateur québécois a certes préféré une fiction à l’incertitude, dans le but de protéger les intérêts des tiers et de permettre à la vie de reprendre son cours, mais il n’a jamais souhaité que la fiction l’emporte sur la réalité. </w:t>
      </w:r>
    </w:p>
    <w:p w14:paraId="76546009" w14:textId="77777777" w:rsidR="00DE4A9F" w:rsidRPr="00DE4A9F" w:rsidRDefault="00DE4A9F" w:rsidP="00DE4A9F">
      <w:pPr>
        <w:pStyle w:val="ParaNoNdepar-AltN"/>
        <w:rPr>
          <w:rFonts w:cs="Times New Roman"/>
          <w:bCs/>
        </w:rPr>
      </w:pPr>
      <w:r w:rsidRPr="00DE4A9F">
        <w:rPr>
          <w:rFonts w:cs="Times New Roman"/>
          <w:bCs/>
        </w:rPr>
        <w:t xml:space="preserve">Contrairement à ce qu’insinue </w:t>
      </w:r>
      <w:r w:rsidRPr="00DE4A9F">
        <w:rPr>
          <w:rFonts w:cs="Times New Roman"/>
        </w:rPr>
        <w:t>M</w:t>
      </w:r>
      <w:r w:rsidRPr="00DE4A9F">
        <w:rPr>
          <w:rFonts w:cs="Times New Roman"/>
          <w:vertAlign w:val="superscript"/>
        </w:rPr>
        <w:t>me</w:t>
      </w:r>
      <w:r w:rsidRPr="00DE4A9F">
        <w:rPr>
          <w:rFonts w:cs="Times New Roman"/>
        </w:rPr>
        <w:t xml:space="preserve"> Riddle </w:t>
      </w:r>
      <w:r w:rsidRPr="00DE4A9F">
        <w:rPr>
          <w:rFonts w:cs="Times New Roman"/>
          <w:bCs/>
        </w:rPr>
        <w:t>dans son mémoire, il n’existe pas de norme de preuve intermédiaire en matière civile lorsque les faits à prouver sont graves ou particulièrement improbables. Notre droit de la preuve ne permet pas de moduler la norme de la prépondérance des probabilités en fonction du caractère particulier de l’affaire. Ce débat n’est pas sans rappeler celui qui s’est tenu devant notre Cour sur la norme de preuve applicable dans une affaire civile où un comportement criminel ou moralement répréhensible est allégué (</w:t>
      </w:r>
      <w:r w:rsidRPr="00DE4A9F">
        <w:rPr>
          <w:rFonts w:cs="Times New Roman"/>
          <w:bCs/>
          <w:i/>
        </w:rPr>
        <w:t>F.H. c. McDougall</w:t>
      </w:r>
      <w:r w:rsidRPr="00DE4A9F">
        <w:rPr>
          <w:rFonts w:cs="Times New Roman"/>
          <w:bCs/>
        </w:rPr>
        <w:t xml:space="preserve">, 2008 CSC 53, [2008] 3 R.C.S. 41). Dans l’affaire </w:t>
      </w:r>
      <w:r w:rsidRPr="00DE4A9F">
        <w:rPr>
          <w:rFonts w:cs="Times New Roman"/>
          <w:bCs/>
          <w:i/>
        </w:rPr>
        <w:t>McDougall</w:t>
      </w:r>
      <w:r w:rsidRPr="00DE4A9F">
        <w:rPr>
          <w:rFonts w:cs="Times New Roman"/>
          <w:bCs/>
        </w:rPr>
        <w:t xml:space="preserve">, notre Cour a expressément rejeté toute </w:t>
      </w:r>
      <w:r w:rsidRPr="00DE4A9F">
        <w:rPr>
          <w:rFonts w:cs="Times New Roman"/>
          <w:bCs/>
        </w:rPr>
        <w:lastRenderedPageBreak/>
        <w:t xml:space="preserve">idée de gradation de la probabilité en matière de preuve civile. Comme le souligne le juge Rothstein, </w:t>
      </w:r>
      <w:r w:rsidRPr="00DE4A9F">
        <w:rPr>
          <w:rFonts w:cs="Times New Roman"/>
          <w:bCs/>
          <w:szCs w:val="24"/>
        </w:rPr>
        <w:t>« </w:t>
      </w:r>
      <w:r w:rsidRPr="00DE4A9F">
        <w:rPr>
          <w:rFonts w:cs="Times New Roman"/>
          <w:szCs w:val="24"/>
        </w:rPr>
        <w:t xml:space="preserve">[l]aisser entendre que lorsqu’une allégation formulée dans une affaire civile est grave, la preuve offerte doit être examinée plus attentivement suppose que l’examen peut être moins rigoureux dans le cas d’une allégation moins grave » (par. 45). </w:t>
      </w:r>
    </w:p>
    <w:p w14:paraId="1DF530DC" w14:textId="77777777" w:rsidR="00DE4A9F" w:rsidRPr="00DE4A9F" w:rsidRDefault="00DE4A9F" w:rsidP="00DE4A9F">
      <w:pPr>
        <w:pStyle w:val="ParaNoNdepar-AltN"/>
        <w:rPr>
          <w:rFonts w:cs="Times New Roman"/>
          <w:bCs/>
        </w:rPr>
      </w:pPr>
      <w:r w:rsidRPr="00DE4A9F">
        <w:rPr>
          <w:rFonts w:cs="Times New Roman"/>
          <w:bCs/>
        </w:rPr>
        <w:t xml:space="preserve">Le juge doit toujours évaluer consciencieusement la preuve présentée afin de déterminer si l’existence d’un fait litigieux est plus probable qu’improbable. </w:t>
      </w:r>
      <w:r w:rsidRPr="00DE4A9F">
        <w:rPr>
          <w:rFonts w:cs="Times New Roman"/>
          <w:szCs w:val="24"/>
        </w:rPr>
        <w:t>L’improbabilité intrinsèque</w:t>
      </w:r>
      <w:r w:rsidRPr="00DE4A9F">
        <w:rPr>
          <w:rFonts w:cs="Times New Roman"/>
          <w:bCs/>
        </w:rPr>
        <w:t xml:space="preserve"> d’un fait ne commande pas l’application d’une norme de preuve plus élevée. Il appartient au juge du procès de déterminer, selon le sens commun, et non selon une règle de droit, dans quelle mesure les circonstances et le contexte permettent de conclure que le fait allégué est intrinsèquement improbable et dans quelle mesure cette conclusion éclairera la question de savoir si le fait allégué a été prouvé (</w:t>
      </w:r>
      <w:r w:rsidRPr="00DE4A9F">
        <w:rPr>
          <w:rFonts w:cs="Times New Roman"/>
          <w:bCs/>
          <w:i/>
        </w:rPr>
        <w:t>McDougall</w:t>
      </w:r>
      <w:r w:rsidRPr="00DE4A9F">
        <w:rPr>
          <w:rFonts w:cs="Times New Roman"/>
          <w:bCs/>
        </w:rPr>
        <w:t>, par. 48).</w:t>
      </w:r>
    </w:p>
    <w:p w14:paraId="62601780" w14:textId="77777777" w:rsidR="00DE4A9F" w:rsidRPr="00DE4A9F" w:rsidRDefault="00DE4A9F" w:rsidP="00DE4A9F">
      <w:pPr>
        <w:pStyle w:val="ParaNoNdepar-AltN"/>
        <w:rPr>
          <w:rFonts w:cs="Times New Roman"/>
          <w:bCs/>
        </w:rPr>
      </w:pPr>
      <w:r w:rsidRPr="00DE4A9F">
        <w:rPr>
          <w:rFonts w:cs="Times New Roman"/>
          <w:bCs/>
        </w:rPr>
        <w:t xml:space="preserve">Prouver un fait selon la prépondérance des probabilités n’est pas une mince tâche. La partie qui allègue un fait, qu’il soit juridique ou matériel, doit présenter une preuve claire et convaincante de son existence (art. 2803 </w:t>
      </w:r>
      <w:r w:rsidRPr="00DE4A9F">
        <w:rPr>
          <w:rFonts w:cs="Times New Roman"/>
          <w:bCs/>
          <w:i/>
        </w:rPr>
        <w:t>C.c.Q.</w:t>
      </w:r>
      <w:r w:rsidRPr="00DE4A9F">
        <w:rPr>
          <w:rFonts w:cs="Times New Roman"/>
          <w:bCs/>
        </w:rPr>
        <w:t xml:space="preserve">; </w:t>
      </w:r>
      <w:r w:rsidRPr="00DE4A9F">
        <w:rPr>
          <w:rFonts w:cs="Times New Roman"/>
          <w:bCs/>
          <w:i/>
        </w:rPr>
        <w:t>McDougall</w:t>
      </w:r>
      <w:r w:rsidRPr="00DE4A9F">
        <w:rPr>
          <w:rFonts w:cs="Times New Roman"/>
          <w:bCs/>
        </w:rPr>
        <w:t xml:space="preserve">, par. 46). Le fait que l’on cherche à prouver doit non seulement être possible, mais probable (Piché, par. 169). Il est d’autant plus difficile pour une partie de s’acquitter de son fardeau de persuasion lorsque, comme en l’espèce, des présomptions jouent en sa défaveur. </w:t>
      </w:r>
    </w:p>
    <w:p w14:paraId="1B727074" w14:textId="77777777" w:rsidR="00DE4A9F" w:rsidRPr="00DE4A9F" w:rsidRDefault="00DE4A9F" w:rsidP="00DE4A9F">
      <w:pPr>
        <w:pStyle w:val="ParaNoNdepar-AltN"/>
        <w:rPr>
          <w:rFonts w:cs="Times New Roman"/>
        </w:rPr>
      </w:pPr>
      <w:r w:rsidRPr="00DE4A9F">
        <w:rPr>
          <w:rFonts w:cs="Times New Roman"/>
        </w:rPr>
        <w:lastRenderedPageBreak/>
        <w:t>À l’audience, la procureure de M</w:t>
      </w:r>
      <w:r w:rsidRPr="00DE4A9F">
        <w:rPr>
          <w:rFonts w:cs="Times New Roman"/>
          <w:vertAlign w:val="superscript"/>
        </w:rPr>
        <w:t>me</w:t>
      </w:r>
      <w:r w:rsidRPr="00DE4A9F">
        <w:rPr>
          <w:rFonts w:cs="Times New Roman"/>
        </w:rPr>
        <w:t xml:space="preserve"> Riddle a nuancé ses propos. Elle a précisé qu’elle n’invoque pas une norme de preuve différente, mais qu’elle prétend plutôt que la partie qui demande l’annulation du jugement déclaratif de décès doit prouver, selon la prépondérance des probabilités, que la personne déclarée décédée est </w:t>
      </w:r>
      <w:r w:rsidRPr="00DE4A9F">
        <w:rPr>
          <w:rFonts w:cs="Times New Roman"/>
          <w:i/>
        </w:rPr>
        <w:t>certainement</w:t>
      </w:r>
      <w:r w:rsidRPr="00DE4A9F">
        <w:rPr>
          <w:rFonts w:cs="Times New Roman"/>
        </w:rPr>
        <w:t xml:space="preserve"> en vie. </w:t>
      </w:r>
    </w:p>
    <w:p w14:paraId="1050DBA6" w14:textId="77777777" w:rsidR="00DE4A9F" w:rsidRPr="00DE4A9F" w:rsidRDefault="00DE4A9F" w:rsidP="00DE4A9F">
      <w:pPr>
        <w:pStyle w:val="ParaNoNdepar-AltN"/>
        <w:rPr>
          <w:rFonts w:cs="Times New Roman"/>
        </w:rPr>
      </w:pPr>
      <w:r w:rsidRPr="00DE4A9F">
        <w:rPr>
          <w:rFonts w:cs="Times New Roman"/>
        </w:rPr>
        <w:t>Avec égards, M</w:t>
      </w:r>
      <w:r w:rsidRPr="00DE4A9F">
        <w:rPr>
          <w:rFonts w:cs="Times New Roman"/>
          <w:vertAlign w:val="superscript"/>
        </w:rPr>
        <w:t>me</w:t>
      </w:r>
      <w:r w:rsidRPr="00DE4A9F">
        <w:rPr>
          <w:rFonts w:cs="Times New Roman"/>
        </w:rPr>
        <w:t xml:space="preserve"> Riddle propose un raisonnement circulaire et confond l’objet de la preuve et le degré de preuve requis. Ivari avait le fardeau de prouver l’existence actuelle de M. Imanpoorsaid, et non pas l’existence actuelle </w:t>
      </w:r>
      <w:r w:rsidRPr="00DE4A9F">
        <w:rPr>
          <w:rFonts w:cs="Times New Roman"/>
          <w:i/>
        </w:rPr>
        <w:t>certaine</w:t>
      </w:r>
      <w:r w:rsidRPr="00DE4A9F">
        <w:rPr>
          <w:rFonts w:cs="Times New Roman"/>
        </w:rPr>
        <w:t xml:space="preserve"> de celui-ci. Tel était l’objet de sa preuve. La juge devait par la suite décider, selon la preuve présentée, si l’existence actuelle lui paraissait plus probable qu’improbable. La prétention de M</w:t>
      </w:r>
      <w:r w:rsidRPr="00DE4A9F">
        <w:rPr>
          <w:rFonts w:cs="Times New Roman"/>
          <w:vertAlign w:val="superscript"/>
        </w:rPr>
        <w:t>me</w:t>
      </w:r>
      <w:r w:rsidRPr="00DE4A9F">
        <w:rPr>
          <w:rFonts w:cs="Times New Roman"/>
        </w:rPr>
        <w:t xml:space="preserve"> Riddle a pour effet de rehausser implicitement la norme de preuve exigée. Madame Riddle semble en réalité insatisfaite de l’appréciation de la preuve faite par la juge de première instance. À son avis, la juge ne disposait pas d’éléments suffisants pour conclure au retour de M. Imanpoorsaid. Cependant, comme je l’ai indiqué plus tôt, en l’absence de démonstration d’une erreur manifeste et déterminante, il n’appartient pas à notre Cour de refaire cette évaluation. </w:t>
      </w:r>
    </w:p>
    <w:p w14:paraId="09072A0D" w14:textId="77777777" w:rsidR="00DE4A9F" w:rsidRPr="00DE4A9F" w:rsidRDefault="00DE4A9F" w:rsidP="00DE4A9F">
      <w:pPr>
        <w:pStyle w:val="ParaNoNdepar-AltN"/>
        <w:rPr>
          <w:rFonts w:cs="Times New Roman"/>
        </w:rPr>
      </w:pPr>
      <w:r w:rsidRPr="00DE4A9F">
        <w:rPr>
          <w:rFonts w:cs="Times New Roman"/>
        </w:rPr>
        <w:t>Madame Riddle plaide que, en permettant qu’un jugement déclaratif de décès soit annulé selon la prépondérance des probabilités, notre Cour hiérarchise les décisions des tribunaux et classe ces jugements dans une catégorie inférieure. Elle plaide que ces jugements ont un caractère définitif et possèdent l’autorité de la chose jugée. L’argument de M</w:t>
      </w:r>
      <w:r w:rsidRPr="00DE4A9F">
        <w:rPr>
          <w:rFonts w:cs="Times New Roman"/>
          <w:vertAlign w:val="superscript"/>
        </w:rPr>
        <w:t>me</w:t>
      </w:r>
      <w:r w:rsidRPr="00DE4A9F">
        <w:rPr>
          <w:rFonts w:cs="Times New Roman"/>
        </w:rPr>
        <w:t xml:space="preserve"> Riddle ne convainc pas. Le jugement déclaratif de décès n’a </w:t>
      </w:r>
      <w:r w:rsidRPr="00DE4A9F">
        <w:rPr>
          <w:rFonts w:cs="Times New Roman"/>
        </w:rPr>
        <w:lastRenderedPageBreak/>
        <w:t xml:space="preserve">pas un caractère définitif. L’article 97 </w:t>
      </w:r>
      <w:r w:rsidRPr="00DE4A9F">
        <w:rPr>
          <w:rFonts w:cs="Times New Roman"/>
          <w:i/>
        </w:rPr>
        <w:t>C.c.Q</w:t>
      </w:r>
      <w:r w:rsidRPr="00DE4A9F">
        <w:rPr>
          <w:rFonts w:cs="Times New Roman"/>
        </w:rPr>
        <w:t xml:space="preserve">. mentionne que ses effets cessent au retour de la personne déclarée décédée. Le législateur a également expressément prévu un mécanisme de révision du jugement déclaratif de décès à l’art. 98 </w:t>
      </w:r>
      <w:r w:rsidRPr="00DE4A9F">
        <w:rPr>
          <w:rFonts w:cs="Times New Roman"/>
          <w:i/>
        </w:rPr>
        <w:t xml:space="preserve">C.c.Q. </w:t>
      </w:r>
    </w:p>
    <w:p w14:paraId="72E4F7C8" w14:textId="77777777" w:rsidR="00DE4A9F" w:rsidRPr="00DE4A9F" w:rsidRDefault="00DE4A9F" w:rsidP="00DE4A9F">
      <w:pPr>
        <w:pStyle w:val="ParaNoNdepar-AltN"/>
        <w:rPr>
          <w:rFonts w:cs="Times New Roman"/>
        </w:rPr>
      </w:pPr>
      <w:r w:rsidRPr="00DE4A9F">
        <w:rPr>
          <w:rFonts w:cs="Times New Roman"/>
        </w:rPr>
        <w:t xml:space="preserve">Madame Riddle soutient, en dernier ressort, que le fait de déclarer vivante une personne dont l’existence actuelle n’est pas établie avec certitude plonge celle-ci, ainsi que ses ayants droit, dans un état d’incertitude perpétuelle — une situation que le </w:t>
      </w:r>
      <w:r w:rsidRPr="00DE4A9F">
        <w:rPr>
          <w:rFonts w:cs="Times New Roman"/>
          <w:i/>
        </w:rPr>
        <w:t>Code civil du Québec</w:t>
      </w:r>
      <w:r w:rsidRPr="00DE4A9F">
        <w:rPr>
          <w:rFonts w:cs="Times New Roman"/>
        </w:rPr>
        <w:t xml:space="preserve"> visait précisément à prévenir.</w:t>
      </w:r>
      <w:r w:rsidRPr="00DE4A9F">
        <w:rPr>
          <w:rFonts w:cs="Times New Roman"/>
          <w:szCs w:val="24"/>
        </w:rPr>
        <w:t xml:space="preserve"> </w:t>
      </w:r>
      <w:r w:rsidRPr="00DE4A9F">
        <w:rPr>
          <w:rFonts w:cs="Times New Roman"/>
        </w:rPr>
        <w:t>Elle craint en effet que permettre qu’un jugement déclaratif de décès puisse être annulé trop facilement n’enclenche un cycle d’instabilité où, dans des cas semblables à celui qui nous occupe, la personne déclarée décédée [</w:t>
      </w:r>
      <w:r w:rsidRPr="00DE4A9F">
        <w:rPr>
          <w:rFonts w:cs="Times New Roman"/>
          <w:smallCaps/>
        </w:rPr>
        <w:t>traduction</w:t>
      </w:r>
      <w:r w:rsidRPr="00DE4A9F">
        <w:rPr>
          <w:rFonts w:cs="Times New Roman"/>
        </w:rPr>
        <w:t>] « revient » et replonge immédiatement dans un état d’absence (m.a., par. 78; voir aussi les par. 2-3). Bien qu’il ne soit pas nécessaire, dans le cadre du présent pourvoi, de statuer sur le sort des droits et des obligations de M. Imanpoorsaid ou sur la suite des choses après l’annulation du jugement déclaratif de décès, quelques observations s’imposent.</w:t>
      </w:r>
    </w:p>
    <w:p w14:paraId="5502A34C" w14:textId="77777777" w:rsidR="00DE4A9F" w:rsidRPr="00DE4A9F" w:rsidRDefault="00DE4A9F" w:rsidP="00DE4A9F">
      <w:pPr>
        <w:pStyle w:val="ParaNoNdepar-AltN"/>
        <w:rPr>
          <w:rFonts w:cs="Times New Roman"/>
        </w:rPr>
      </w:pPr>
      <w:r w:rsidRPr="00DE4A9F">
        <w:rPr>
          <w:rFonts w:cs="Times New Roman"/>
          <w:szCs w:val="24"/>
        </w:rPr>
        <w:t>Premièrement, le « revenant » et ses héritiers ne retournent pas à la case départ du seul fait qu’on ne peut pas localiser le premier. Tel qu’il a été mentionné auparavant, ses biens ne sont pas laissés sans protection puisque l’héritier apparent</w:t>
      </w:r>
      <w:r w:rsidRPr="00DE4A9F">
        <w:rPr>
          <w:rFonts w:cs="Times New Roman"/>
        </w:rPr>
        <w:t xml:space="preserve"> « </w:t>
      </w:r>
      <w:r w:rsidRPr="00DE4A9F">
        <w:rPr>
          <w:rFonts w:cs="Times New Roman"/>
          <w:szCs w:val="24"/>
        </w:rPr>
        <w:t xml:space="preserve">conserve la possession des biens et en acquiert les fruits et les revenus » jusqu’à ce que la personne dont l’existence actuelle a été prouvée lui demande de les reprendre (art. 101 </w:t>
      </w:r>
      <w:r w:rsidRPr="00DE4A9F">
        <w:rPr>
          <w:rFonts w:cs="Times New Roman"/>
          <w:i/>
          <w:szCs w:val="24"/>
        </w:rPr>
        <w:t>C.c.Q.</w:t>
      </w:r>
      <w:r w:rsidRPr="00DE4A9F">
        <w:rPr>
          <w:rFonts w:cs="Times New Roman"/>
          <w:szCs w:val="24"/>
        </w:rPr>
        <w:t xml:space="preserve">). Deuxièmement, le « revenant » qui ne s’est toujours pas manifesté auprès de ses proches ne redevient pas absent de par son seul éloignement. Il convient </w:t>
      </w:r>
      <w:r w:rsidRPr="00DE4A9F">
        <w:rPr>
          <w:rFonts w:cs="Times New Roman"/>
          <w:szCs w:val="24"/>
        </w:rPr>
        <w:lastRenderedPageBreak/>
        <w:t xml:space="preserve">de rappeler que le régime de l’absence ne s’applique que si les conditions d’ouverture de l’art. 84 </w:t>
      </w:r>
      <w:r w:rsidRPr="00DE4A9F">
        <w:rPr>
          <w:rFonts w:cs="Times New Roman"/>
          <w:i/>
          <w:szCs w:val="24"/>
        </w:rPr>
        <w:t>C.c.Q.</w:t>
      </w:r>
      <w:r w:rsidRPr="00DE4A9F">
        <w:rPr>
          <w:rFonts w:cs="Times New Roman"/>
          <w:szCs w:val="24"/>
        </w:rPr>
        <w:t xml:space="preserve"> sont réunies. En conséquence, la personne dont on ne doute pas de l’existence actuelle, mais qui n’est pas revenue à son domicile, doit plutôt être qualifiée de </w:t>
      </w:r>
      <w:r w:rsidRPr="00DE4A9F">
        <w:rPr>
          <w:rFonts w:cs="Times New Roman"/>
          <w:i/>
          <w:szCs w:val="24"/>
        </w:rPr>
        <w:t>non présente</w:t>
      </w:r>
      <w:r w:rsidRPr="00DE4A9F">
        <w:rPr>
          <w:rFonts w:cs="Times New Roman"/>
          <w:szCs w:val="24"/>
        </w:rPr>
        <w:t>. Finalement, s</w:t>
      </w:r>
      <w:r w:rsidRPr="00DE4A9F">
        <w:rPr>
          <w:rFonts w:cs="Times New Roman"/>
        </w:rPr>
        <w:t xml:space="preserve">’il est établi que le revenant a fixé son domicile hors de la province, il ne pourra plus être qualifié d’absent au Québec. Il pourra toutefois, si son existence actuelle est de nouveau mise en question, être déclaré absent conformément aux lois de son domicile, et nos tribunaux pourront reconnaître un jugement étranger statuant sur l’état de sa personne (Roch, p. 32-33). En pareil cas, ce sont les règles du Livre dixième relatives au droit international privé qui trouvent application. En somme, comme l’explique le professeur Teyssié, </w:t>
      </w:r>
      <w:r w:rsidRPr="00DE4A9F">
        <w:rPr>
          <w:rFonts w:cs="Times New Roman"/>
          <w:szCs w:val="24"/>
        </w:rPr>
        <w:t>lorsque la preuve de l’existence actuelle d’une personne qui n’est pas revenue a été faite, cette dernière « quitte l’habit du présumé absent [. . .] pour revêtir celui du non</w:t>
      </w:r>
      <w:r w:rsidRPr="00DE4A9F">
        <w:rPr>
          <w:rFonts w:cs="Times New Roman"/>
          <w:szCs w:val="24"/>
        </w:rPr>
        <w:noBreakHyphen/>
        <w:t>présent hors d’état [. . .] de manifester sa volonté » (</w:t>
      </w:r>
      <w:r w:rsidRPr="00DE4A9F">
        <w:rPr>
          <w:rFonts w:cs="Times New Roman"/>
        </w:rPr>
        <w:t>par. 331).</w:t>
      </w:r>
      <w:r w:rsidRPr="00DE4A9F">
        <w:rPr>
          <w:rFonts w:cs="Times New Roman"/>
          <w:szCs w:val="24"/>
        </w:rPr>
        <w:t xml:space="preserve"> </w:t>
      </w:r>
    </w:p>
    <w:bookmarkEnd w:id="16"/>
    <w:p w14:paraId="613F8D53" w14:textId="77777777" w:rsidR="00DE4A9F" w:rsidRPr="00DE4A9F" w:rsidRDefault="00DE4A9F" w:rsidP="00DE4A9F">
      <w:pPr>
        <w:pStyle w:val="Title3LevelTitre3Niveau"/>
        <w:numPr>
          <w:ilvl w:val="2"/>
          <w:numId w:val="8"/>
        </w:numPr>
        <w:rPr>
          <w:rFonts w:cs="Times New Roman"/>
        </w:rPr>
      </w:pPr>
      <w:r w:rsidRPr="00DE4A9F">
        <w:rPr>
          <w:rFonts w:cs="Times New Roman"/>
        </w:rPr>
        <w:t>Application</w:t>
      </w:r>
    </w:p>
    <w:p w14:paraId="5E1D8683" w14:textId="77777777" w:rsidR="00DE4A9F" w:rsidRPr="00DE4A9F" w:rsidRDefault="00DE4A9F" w:rsidP="00DE4A9F">
      <w:pPr>
        <w:pStyle w:val="ParaNoNdepar-AltN"/>
        <w:rPr>
          <w:rFonts w:cs="Times New Roman"/>
        </w:rPr>
      </w:pPr>
      <w:bookmarkStart w:id="18" w:name="_Hlk225498912"/>
      <w:r w:rsidRPr="00DE4A9F">
        <w:rPr>
          <w:rFonts w:cs="Times New Roman"/>
        </w:rPr>
        <w:t xml:space="preserve">La juge de première instance, tout comme la Cour d’appel, n’a commis aucune erreur dans la détermination du cadre juridique applicable à la preuve du retour de la personne déclarée décédée. Cette preuve peut résulter de toute manifestation contemporaine qui rend plus probable qu’improbable l’existence actuelle de la personne déclarée décédée. La preuve doit être claire et convaincante, de nature à réfuter la présomption de décès, mais aucun seuil particulier de certitude n’est requis. Même si la présence physique de la personne déclarée décédée constituera toujours la </w:t>
      </w:r>
      <w:r w:rsidRPr="00DE4A9F">
        <w:rPr>
          <w:rFonts w:cs="Times New Roman"/>
        </w:rPr>
        <w:lastRenderedPageBreak/>
        <w:t xml:space="preserve">meilleure preuve de son existence actuelle, un juge peut se satisfaire d’éléments de preuve établissant qu’elle vit encore, particulièrement lorsque les circonstances suggèrent une disparition ou une réclusion volontaire. </w:t>
      </w:r>
    </w:p>
    <w:p w14:paraId="2DBE35DE" w14:textId="77777777" w:rsidR="00DE4A9F" w:rsidRPr="00DE4A9F" w:rsidRDefault="00DE4A9F" w:rsidP="00DE4A9F">
      <w:pPr>
        <w:pStyle w:val="ParaNoNdepar-AltN"/>
        <w:rPr>
          <w:rFonts w:cs="Times New Roman"/>
        </w:rPr>
      </w:pPr>
      <w:r w:rsidRPr="00DE4A9F">
        <w:rPr>
          <w:rFonts w:cs="Times New Roman"/>
        </w:rPr>
        <w:t xml:space="preserve">Madame Riddle n’a pas prétendu que la juge de première instance aurait commis, dans l’appréciation de la preuve, une erreur manifeste et déterminante qui justifierait une intervention de notre Cour. En conséquence, en l’absence de démonstration d’une erreur de droit, notre analyse devrait s’arrêter ici. Il m’apparaît cependant pertinent de rappeler les éléments qu’a pris en compte la juge de première instance pour conclure, selon la prépondérance des probabilités, que M. Imanpoorsaid était toujours en vie. En 2015, plusieurs mois après la date présumée du décès, l’organisme étatique chargé du recensement en Iran a remis en mains propres à un certain Hooshang Imanpoorsaid une carte d’identité nationale. En date du 28 octobre 2018, les registres de l’état civil informatisés de l’Iran faisaient état de l’existence actuelle de cette personne et ne rapportaient aucune mention de décès. Depuis sa disparition en 2008, cette même personne a demandé la délivrance de deux passeports, dont le premier lui a été remis quelques mois après qu’elle a quitté le sol canadien. Les documents de demande de passeport contiennent des photographies de cette personne. Entre 2008 et 2017, cette dernière est sortie d’Iran et y est entrée par avion de ligne à au moins 16 occasions, dont trois fois après le prononcé du jugement déclaratif de décès. En décembre 2018, elle s’est inscrite pour bénéficier d’une aide sociale en Iran. À la lumière de cette preuve, la juge de première instance s’est dite convaincue que la </w:t>
      </w:r>
      <w:r w:rsidRPr="00DE4A9F">
        <w:rPr>
          <w:rFonts w:cs="Times New Roman"/>
        </w:rPr>
        <w:lastRenderedPageBreak/>
        <w:t>personne figurant sur ces documents était bien le conjoint de M</w:t>
      </w:r>
      <w:r w:rsidRPr="00DE4A9F">
        <w:rPr>
          <w:rFonts w:cs="Times New Roman"/>
          <w:vertAlign w:val="superscript"/>
        </w:rPr>
        <w:t>me</w:t>
      </w:r>
      <w:r w:rsidRPr="00DE4A9F">
        <w:rPr>
          <w:rFonts w:cs="Times New Roman"/>
        </w:rPr>
        <w:t xml:space="preserve"> Riddle et que M. Imanpoorsaid était donc encore bien en vie. </w:t>
      </w:r>
    </w:p>
    <w:bookmarkEnd w:id="18"/>
    <w:p w14:paraId="75255D29" w14:textId="77777777" w:rsidR="00DE4A9F" w:rsidRPr="00DE4A9F" w:rsidRDefault="00DE4A9F" w:rsidP="00DE4A9F">
      <w:pPr>
        <w:pStyle w:val="Title1LevelTitre1Niveau-AltL"/>
        <w:numPr>
          <w:ilvl w:val="0"/>
          <w:numId w:val="8"/>
        </w:numPr>
        <w:rPr>
          <w:rFonts w:cs="Times New Roman"/>
        </w:rPr>
      </w:pPr>
      <w:r w:rsidRPr="00DE4A9F">
        <w:rPr>
          <w:rFonts w:cs="Times New Roman"/>
        </w:rPr>
        <w:t>Conclusion</w:t>
      </w:r>
    </w:p>
    <w:p w14:paraId="3573F418" w14:textId="77777777" w:rsidR="00DE4A9F" w:rsidRPr="00DE4A9F" w:rsidRDefault="00DE4A9F" w:rsidP="00DE4A9F">
      <w:pPr>
        <w:pStyle w:val="ParaNoNdepar-AltN"/>
        <w:rPr>
          <w:rFonts w:cs="Times New Roman"/>
        </w:rPr>
      </w:pPr>
      <w:r w:rsidRPr="00DE4A9F">
        <w:rPr>
          <w:rFonts w:cs="Times New Roman"/>
        </w:rPr>
        <w:t xml:space="preserve">Pour les motifs qui précèdent, je suis d’avis de rejeter le pourvoi avec dépens. </w:t>
      </w:r>
    </w:p>
    <w:p w14:paraId="3CBF6184" w14:textId="77777777" w:rsidR="004D7D95" w:rsidRPr="00DE4A9F" w:rsidRDefault="004D7D95" w:rsidP="00C870CA">
      <w:pPr>
        <w:pStyle w:val="SCCNormalDoubleSpacing"/>
        <w:spacing w:after="480"/>
        <w:rPr>
          <w:szCs w:val="24"/>
          <w:lang w:val="fr-FR"/>
        </w:rPr>
      </w:pPr>
      <w:r w:rsidRPr="00DE4A9F">
        <w:rPr>
          <w:szCs w:val="24"/>
          <w:lang w:val="fr-FR"/>
        </w:rPr>
        <w:tab/>
      </w:r>
      <w:r w:rsidR="007A6D2B" w:rsidRPr="00DE4A9F">
        <w:rPr>
          <w:i/>
          <w:szCs w:val="24"/>
          <w:lang w:val="fr-FR"/>
        </w:rPr>
        <w:t>Pourvoi</w:t>
      </w:r>
      <w:r w:rsidR="00D21EC0" w:rsidRPr="00DE4A9F">
        <w:rPr>
          <w:i/>
          <w:szCs w:val="24"/>
          <w:lang w:val="fr-FR"/>
        </w:rPr>
        <w:t xml:space="preserve"> </w:t>
      </w:r>
      <w:r w:rsidR="0055776B" w:rsidRPr="00DE4A9F">
        <w:rPr>
          <w:i/>
          <w:szCs w:val="24"/>
          <w:lang w:val="fr-FR"/>
        </w:rPr>
        <w:t>rejeté avec dépens</w:t>
      </w:r>
      <w:r w:rsidR="00D21EC0" w:rsidRPr="00DE4A9F">
        <w:rPr>
          <w:i/>
          <w:szCs w:val="24"/>
          <w:lang w:val="fr-FR"/>
        </w:rPr>
        <w:t>.</w:t>
      </w:r>
    </w:p>
    <w:p w14:paraId="28A6B09C" w14:textId="77777777" w:rsidR="00B51476" w:rsidRPr="00DE4A9F" w:rsidRDefault="002937CE" w:rsidP="00C870CA">
      <w:pPr>
        <w:pStyle w:val="SCCLawFirm"/>
        <w:spacing w:after="480"/>
        <w:rPr>
          <w:szCs w:val="24"/>
          <w:lang w:val="fr-FR"/>
        </w:rPr>
      </w:pPr>
      <w:r w:rsidRPr="00DE4A9F">
        <w:rPr>
          <w:szCs w:val="24"/>
          <w:lang w:val="fr-FR"/>
        </w:rPr>
        <w:tab/>
        <w:t>Procureurs de l</w:t>
      </w:r>
      <w:r w:rsidR="007A4228" w:rsidRPr="00DE4A9F">
        <w:rPr>
          <w:szCs w:val="24"/>
          <w:lang w:val="fr-FR"/>
        </w:rPr>
        <w:t>’</w:t>
      </w:r>
      <w:r w:rsidRPr="00DE4A9F">
        <w:rPr>
          <w:szCs w:val="24"/>
          <w:lang w:val="fr-FR"/>
        </w:rPr>
        <w:t>appelante</w:t>
      </w:r>
      <w:r w:rsidR="000479E7" w:rsidRPr="00DE4A9F">
        <w:rPr>
          <w:szCs w:val="24"/>
          <w:lang w:val="fr-FR"/>
        </w:rPr>
        <w:t> </w:t>
      </w:r>
      <w:r w:rsidRPr="00DE4A9F">
        <w:rPr>
          <w:szCs w:val="24"/>
          <w:lang w:val="fr-FR"/>
        </w:rPr>
        <w:t>: Alexeev Attorneys, Montréal.</w:t>
      </w:r>
    </w:p>
    <w:p w14:paraId="226538E3" w14:textId="77777777" w:rsidR="009B57B3" w:rsidRPr="00C870CA" w:rsidRDefault="002937CE" w:rsidP="00C870CA">
      <w:pPr>
        <w:pStyle w:val="SCCLawFirm"/>
        <w:spacing w:after="480"/>
        <w:rPr>
          <w:szCs w:val="24"/>
          <w:lang w:val="fr-FR"/>
        </w:rPr>
      </w:pPr>
      <w:r w:rsidRPr="00DE4A9F">
        <w:rPr>
          <w:szCs w:val="24"/>
          <w:lang w:val="fr-FR"/>
        </w:rPr>
        <w:tab/>
        <w:t>Procureurs de l</w:t>
      </w:r>
      <w:r w:rsidR="007A4228" w:rsidRPr="00DE4A9F">
        <w:rPr>
          <w:szCs w:val="24"/>
          <w:lang w:val="fr-FR"/>
        </w:rPr>
        <w:t>’</w:t>
      </w:r>
      <w:r w:rsidRPr="00DE4A9F">
        <w:rPr>
          <w:szCs w:val="24"/>
          <w:lang w:val="fr-FR"/>
        </w:rPr>
        <w:t>intim</w:t>
      </w:r>
      <w:r w:rsidR="003C126D" w:rsidRPr="00DE4A9F">
        <w:rPr>
          <w:szCs w:val="24"/>
          <w:lang w:val="fr-FR"/>
        </w:rPr>
        <w:t>ée</w:t>
      </w:r>
      <w:r w:rsidR="000479E7" w:rsidRPr="00DE4A9F">
        <w:rPr>
          <w:szCs w:val="24"/>
          <w:lang w:val="fr-FR"/>
        </w:rPr>
        <w:t> </w:t>
      </w:r>
      <w:r w:rsidR="0055776B" w:rsidRPr="00DE4A9F">
        <w:rPr>
          <w:szCs w:val="24"/>
          <w:lang w:val="fr-FR"/>
        </w:rPr>
        <w:t>: Donati Maisonneuve, Montréal.</w:t>
      </w:r>
    </w:p>
    <w:sectPr w:rsidR="009B57B3" w:rsidRPr="00C870CA" w:rsidSect="00B34EF9">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C963" w14:textId="77777777" w:rsidR="004B3B98" w:rsidRDefault="004B3B98">
      <w:r>
        <w:separator/>
      </w:r>
    </w:p>
  </w:endnote>
  <w:endnote w:type="continuationSeparator" w:id="0">
    <w:p w14:paraId="40AEBF8F" w14:textId="77777777" w:rsidR="004B3B98" w:rsidRDefault="004B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8F1A" w14:textId="77777777" w:rsidR="004B3B98" w:rsidRDefault="004B3B98">
      <w:r>
        <w:separator/>
      </w:r>
    </w:p>
  </w:footnote>
  <w:footnote w:type="continuationSeparator" w:id="0">
    <w:p w14:paraId="11D03DD8" w14:textId="77777777" w:rsidR="004B3B98" w:rsidRDefault="004B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75252"/>
      <w:docPartObj>
        <w:docPartGallery w:val="Page Numbers (Top of Page)"/>
        <w:docPartUnique/>
      </w:docPartObj>
    </w:sdtPr>
    <w:sdtContent>
      <w:p w14:paraId="76B2CB73" w14:textId="007D4D59" w:rsidR="00B34EF9" w:rsidRDefault="00B34EF9">
        <w:pPr>
          <w:pStyle w:val="En-tte"/>
          <w:jc w:val="center"/>
        </w:pPr>
        <w:r>
          <w:fldChar w:fldCharType="begin"/>
        </w:r>
        <w:r>
          <w:instrText>PAGE   \* MERGEFORMAT</w:instrText>
        </w:r>
        <w:r>
          <w:fldChar w:fldCharType="separate"/>
        </w:r>
        <w:r>
          <w:rPr>
            <w:lang w:val="fr-CA"/>
          </w:rPr>
          <w:t>2</w:t>
        </w:r>
        <w:r>
          <w:fldChar w:fldCharType="end"/>
        </w:r>
      </w:p>
    </w:sdtContent>
  </w:sdt>
  <w:p w14:paraId="165E049F" w14:textId="77777777" w:rsidR="00B34EF9" w:rsidRDefault="00B34E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04FD"/>
    <w:multiLevelType w:val="hybridMultilevel"/>
    <w:tmpl w:val="DB167E2E"/>
    <w:lvl w:ilvl="0" w:tplc="EFD07EB2">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66EF2"/>
    <w:multiLevelType w:val="multilevel"/>
    <w:tmpl w:val="1B50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D70F9"/>
    <w:multiLevelType w:val="hybridMultilevel"/>
    <w:tmpl w:val="F6FCD7D0"/>
    <w:lvl w:ilvl="0" w:tplc="BB4270E2">
      <w:start w:val="7"/>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C7137E"/>
    <w:multiLevelType w:val="hybridMultilevel"/>
    <w:tmpl w:val="F23A3CDA"/>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6C77FA3"/>
    <w:multiLevelType w:val="hybridMultilevel"/>
    <w:tmpl w:val="BA3C03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C847A0"/>
    <w:multiLevelType w:val="multilevel"/>
    <w:tmpl w:val="1DD6E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45D4D"/>
    <w:multiLevelType w:val="hybridMultilevel"/>
    <w:tmpl w:val="C914A53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A76512"/>
    <w:multiLevelType w:val="hybridMultilevel"/>
    <w:tmpl w:val="A302FA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A21FC8"/>
    <w:multiLevelType w:val="multilevel"/>
    <w:tmpl w:val="C21654AE"/>
    <w:lvl w:ilvl="0">
      <w:start w:val="1"/>
      <w:numFmt w:val="bullet"/>
      <w:lvlText w:val=""/>
      <w:lvlJc w:val="left"/>
      <w:pPr>
        <w:tabs>
          <w:tab w:val="num" w:pos="1152"/>
        </w:tabs>
        <w:ind w:left="0" w:firstLine="0"/>
      </w:pPr>
      <w:rPr>
        <w:rFonts w:ascii="Symbol" w:hAnsi="Symbol" w:hint="default"/>
        <w:b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767817"/>
    <w:multiLevelType w:val="hybridMultilevel"/>
    <w:tmpl w:val="75EC46A0"/>
    <w:lvl w:ilvl="0" w:tplc="BEB262B6">
      <w:start w:val="16"/>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C37F0A"/>
    <w:multiLevelType w:val="hybridMultilevel"/>
    <w:tmpl w:val="7A7ED73C"/>
    <w:lvl w:ilvl="0" w:tplc="C94014C8">
      <w:start w:val="3"/>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4EF43D5"/>
    <w:multiLevelType w:val="multilevel"/>
    <w:tmpl w:val="1F2E9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3130A"/>
    <w:multiLevelType w:val="multilevel"/>
    <w:tmpl w:val="4A04FE3C"/>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5" w15:restartNumberingAfterBreak="0">
    <w:nsid w:val="460E4A3C"/>
    <w:multiLevelType w:val="hybridMultilevel"/>
    <w:tmpl w:val="60C4B7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67A08BF"/>
    <w:multiLevelType w:val="hybridMultilevel"/>
    <w:tmpl w:val="9D44CCB6"/>
    <w:lvl w:ilvl="0" w:tplc="15828C7C">
      <w:start w:val="2"/>
      <w:numFmt w:val="bullet"/>
      <w:lvlText w:val="-"/>
      <w:lvlJc w:val="left"/>
      <w:pPr>
        <w:ind w:left="720" w:hanging="360"/>
      </w:pPr>
      <w:rPr>
        <w:rFonts w:ascii="Times New Roman" w:eastAsia="Times New Roman" w:hAnsi="Times New Roman" w:cs="Times New Roman" w:hint="default"/>
        <w:lang w:val="fr-FR"/>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567D1B"/>
    <w:multiLevelType w:val="hybridMultilevel"/>
    <w:tmpl w:val="54A6D492"/>
    <w:lvl w:ilvl="0" w:tplc="0168729C">
      <w:start w:val="1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9"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DDB03A4"/>
    <w:multiLevelType w:val="hybridMultilevel"/>
    <w:tmpl w:val="1480F540"/>
    <w:lvl w:ilvl="0" w:tplc="DA48BFD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1D52F11"/>
    <w:multiLevelType w:val="hybridMultilevel"/>
    <w:tmpl w:val="AFAAB6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4283EE8"/>
    <w:multiLevelType w:val="multilevel"/>
    <w:tmpl w:val="1B3ACCFA"/>
    <w:lvl w:ilvl="0">
      <w:start w:val="1"/>
      <w:numFmt w:val="decimal"/>
      <w:pStyle w:val="ParaNoNdepar-AltN"/>
      <w:lvlText w:val="[%1]"/>
      <w:lvlJc w:val="left"/>
      <w:pPr>
        <w:tabs>
          <w:tab w:val="num" w:pos="1152"/>
        </w:tabs>
        <w:ind w:left="0" w:firstLine="0"/>
      </w:pPr>
      <w:rPr>
        <w:rFonts w:ascii="Times New Roman" w:hAnsi="Times New Roman" w:hint="default"/>
        <w:b w:val="0"/>
        <w:strike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A225FF"/>
    <w:multiLevelType w:val="hybridMultilevel"/>
    <w:tmpl w:val="102E04AA"/>
    <w:lvl w:ilvl="0" w:tplc="84FC50E6">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90628C0"/>
    <w:multiLevelType w:val="hybridMultilevel"/>
    <w:tmpl w:val="C0FE44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88060977">
    <w:abstractNumId w:val="24"/>
  </w:num>
  <w:num w:numId="2" w16cid:durableId="1047871972">
    <w:abstractNumId w:val="8"/>
  </w:num>
  <w:num w:numId="3" w16cid:durableId="978531262">
    <w:abstractNumId w:val="1"/>
  </w:num>
  <w:num w:numId="4" w16cid:durableId="506093574">
    <w:abstractNumId w:val="18"/>
  </w:num>
  <w:num w:numId="5" w16cid:durableId="2089034559">
    <w:abstractNumId w:val="19"/>
  </w:num>
  <w:num w:numId="6" w16cid:durableId="1180311967">
    <w:abstractNumId w:val="22"/>
  </w:num>
  <w:num w:numId="7" w16cid:durableId="1412385009">
    <w:abstractNumId w:val="14"/>
  </w:num>
  <w:num w:numId="8" w16cid:durableId="1869441908">
    <w:abstractNumId w:val="14"/>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strike w:val="0"/>
          <w:color w:val="auto"/>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636030833">
    <w:abstractNumId w:val="9"/>
  </w:num>
  <w:num w:numId="10" w16cid:durableId="638346150">
    <w:abstractNumId w:val="4"/>
  </w:num>
  <w:num w:numId="11" w16cid:durableId="135882809">
    <w:abstractNumId w:val="11"/>
  </w:num>
  <w:num w:numId="12" w16cid:durableId="1668946196">
    <w:abstractNumId w:val="3"/>
  </w:num>
  <w:num w:numId="13" w16cid:durableId="467480105">
    <w:abstractNumId w:val="17"/>
  </w:num>
  <w:num w:numId="14" w16cid:durableId="1358043823">
    <w:abstractNumId w:val="20"/>
  </w:num>
  <w:num w:numId="15" w16cid:durableId="166218984">
    <w:abstractNumId w:val="15"/>
  </w:num>
  <w:num w:numId="16" w16cid:durableId="1967612868">
    <w:abstractNumId w:val="12"/>
  </w:num>
  <w:num w:numId="17" w16cid:durableId="507868648">
    <w:abstractNumId w:val="23"/>
  </w:num>
  <w:num w:numId="18" w16cid:durableId="2021807758">
    <w:abstractNumId w:val="10"/>
  </w:num>
  <w:num w:numId="19" w16cid:durableId="1622958898">
    <w:abstractNumId w:val="13"/>
  </w:num>
  <w:num w:numId="20" w16cid:durableId="1605066128">
    <w:abstractNumId w:val="6"/>
  </w:num>
  <w:num w:numId="21" w16cid:durableId="636564797">
    <w:abstractNumId w:val="2"/>
  </w:num>
  <w:num w:numId="22" w16cid:durableId="1376000947">
    <w:abstractNumId w:val="21"/>
  </w:num>
  <w:num w:numId="23" w16cid:durableId="1080760580">
    <w:abstractNumId w:val="5"/>
  </w:num>
  <w:num w:numId="24" w16cid:durableId="1427115441">
    <w:abstractNumId w:val="25"/>
  </w:num>
  <w:num w:numId="25" w16cid:durableId="729381431">
    <w:abstractNumId w:val="16"/>
  </w:num>
  <w:num w:numId="26" w16cid:durableId="215825004">
    <w:abstractNumId w:val="0"/>
  </w:num>
  <w:num w:numId="27" w16cid:durableId="2032874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14766"/>
    <w:rsid w:val="00017A7D"/>
    <w:rsid w:val="00023FC7"/>
    <w:rsid w:val="0002450D"/>
    <w:rsid w:val="00025198"/>
    <w:rsid w:val="00037888"/>
    <w:rsid w:val="000478B3"/>
    <w:rsid w:val="000479E7"/>
    <w:rsid w:val="000578A3"/>
    <w:rsid w:val="000648CC"/>
    <w:rsid w:val="00080E45"/>
    <w:rsid w:val="000B553A"/>
    <w:rsid w:val="000C59B8"/>
    <w:rsid w:val="000C6AF0"/>
    <w:rsid w:val="000D0A77"/>
    <w:rsid w:val="000F0660"/>
    <w:rsid w:val="000F7993"/>
    <w:rsid w:val="00104F33"/>
    <w:rsid w:val="00111DE2"/>
    <w:rsid w:val="00116B38"/>
    <w:rsid w:val="00121C88"/>
    <w:rsid w:val="001254D2"/>
    <w:rsid w:val="00135406"/>
    <w:rsid w:val="00135972"/>
    <w:rsid w:val="0013718D"/>
    <w:rsid w:val="001426A9"/>
    <w:rsid w:val="00153E49"/>
    <w:rsid w:val="00154D7C"/>
    <w:rsid w:val="001570B0"/>
    <w:rsid w:val="0015752C"/>
    <w:rsid w:val="00157737"/>
    <w:rsid w:val="00163170"/>
    <w:rsid w:val="00165277"/>
    <w:rsid w:val="00166984"/>
    <w:rsid w:val="00170592"/>
    <w:rsid w:val="001720F7"/>
    <w:rsid w:val="00195D83"/>
    <w:rsid w:val="001A00C1"/>
    <w:rsid w:val="001B33E0"/>
    <w:rsid w:val="001B4573"/>
    <w:rsid w:val="001C55F2"/>
    <w:rsid w:val="001C779F"/>
    <w:rsid w:val="001D2AC1"/>
    <w:rsid w:val="001D4E88"/>
    <w:rsid w:val="001D7E20"/>
    <w:rsid w:val="001E4CE7"/>
    <w:rsid w:val="002007EA"/>
    <w:rsid w:val="00220FC2"/>
    <w:rsid w:val="002222F4"/>
    <w:rsid w:val="00223C22"/>
    <w:rsid w:val="00224FC0"/>
    <w:rsid w:val="00225EA4"/>
    <w:rsid w:val="00226EAF"/>
    <w:rsid w:val="00231F3A"/>
    <w:rsid w:val="0023338D"/>
    <w:rsid w:val="002406EE"/>
    <w:rsid w:val="00243EC8"/>
    <w:rsid w:val="00244B59"/>
    <w:rsid w:val="002604A8"/>
    <w:rsid w:val="00270D93"/>
    <w:rsid w:val="002745CC"/>
    <w:rsid w:val="002937CE"/>
    <w:rsid w:val="002A1444"/>
    <w:rsid w:val="002A72E5"/>
    <w:rsid w:val="002B6FBE"/>
    <w:rsid w:val="002B7924"/>
    <w:rsid w:val="002C10A6"/>
    <w:rsid w:val="002D1DE8"/>
    <w:rsid w:val="002D28C3"/>
    <w:rsid w:val="002D39A4"/>
    <w:rsid w:val="002E33F9"/>
    <w:rsid w:val="002E5A47"/>
    <w:rsid w:val="002E6705"/>
    <w:rsid w:val="0030329A"/>
    <w:rsid w:val="0031086F"/>
    <w:rsid w:val="0031414C"/>
    <w:rsid w:val="00314E01"/>
    <w:rsid w:val="0032089D"/>
    <w:rsid w:val="003310DE"/>
    <w:rsid w:val="003323B0"/>
    <w:rsid w:val="00340A49"/>
    <w:rsid w:val="0035169A"/>
    <w:rsid w:val="0035259D"/>
    <w:rsid w:val="00364B18"/>
    <w:rsid w:val="00364C65"/>
    <w:rsid w:val="00365A00"/>
    <w:rsid w:val="0036748D"/>
    <w:rsid w:val="003A0C06"/>
    <w:rsid w:val="003A125D"/>
    <w:rsid w:val="003A4C70"/>
    <w:rsid w:val="003B215F"/>
    <w:rsid w:val="003C126D"/>
    <w:rsid w:val="003C799C"/>
    <w:rsid w:val="003D0399"/>
    <w:rsid w:val="003E1C71"/>
    <w:rsid w:val="003E36BF"/>
    <w:rsid w:val="003F327B"/>
    <w:rsid w:val="00406166"/>
    <w:rsid w:val="0040704B"/>
    <w:rsid w:val="00410A55"/>
    <w:rsid w:val="00411300"/>
    <w:rsid w:val="00413F17"/>
    <w:rsid w:val="00415417"/>
    <w:rsid w:val="00423DC4"/>
    <w:rsid w:val="00426659"/>
    <w:rsid w:val="00441E15"/>
    <w:rsid w:val="00450352"/>
    <w:rsid w:val="00454311"/>
    <w:rsid w:val="00454BDB"/>
    <w:rsid w:val="00465132"/>
    <w:rsid w:val="00480C90"/>
    <w:rsid w:val="0048396F"/>
    <w:rsid w:val="00493C18"/>
    <w:rsid w:val="004A5624"/>
    <w:rsid w:val="004A600C"/>
    <w:rsid w:val="004A6118"/>
    <w:rsid w:val="004B3B98"/>
    <w:rsid w:val="004B632D"/>
    <w:rsid w:val="004C478D"/>
    <w:rsid w:val="004D380A"/>
    <w:rsid w:val="004D39DF"/>
    <w:rsid w:val="004D7D95"/>
    <w:rsid w:val="004E2C26"/>
    <w:rsid w:val="005125A8"/>
    <w:rsid w:val="00517549"/>
    <w:rsid w:val="00520ABC"/>
    <w:rsid w:val="00521AE8"/>
    <w:rsid w:val="00527180"/>
    <w:rsid w:val="00527712"/>
    <w:rsid w:val="00555291"/>
    <w:rsid w:val="0055776B"/>
    <w:rsid w:val="00566AD1"/>
    <w:rsid w:val="00583EDE"/>
    <w:rsid w:val="005A0B61"/>
    <w:rsid w:val="005A6079"/>
    <w:rsid w:val="005E1F1C"/>
    <w:rsid w:val="005E4698"/>
    <w:rsid w:val="005F5740"/>
    <w:rsid w:val="00600C01"/>
    <w:rsid w:val="00603924"/>
    <w:rsid w:val="00606C5C"/>
    <w:rsid w:val="00610539"/>
    <w:rsid w:val="00613969"/>
    <w:rsid w:val="00625C35"/>
    <w:rsid w:val="006277EF"/>
    <w:rsid w:val="00632E18"/>
    <w:rsid w:val="0063669F"/>
    <w:rsid w:val="00647E49"/>
    <w:rsid w:val="00656313"/>
    <w:rsid w:val="006565F4"/>
    <w:rsid w:val="006636C6"/>
    <w:rsid w:val="0067010F"/>
    <w:rsid w:val="00684EEA"/>
    <w:rsid w:val="0069689B"/>
    <w:rsid w:val="006B086F"/>
    <w:rsid w:val="006B4CD5"/>
    <w:rsid w:val="006B5FF5"/>
    <w:rsid w:val="006B6994"/>
    <w:rsid w:val="006D29D4"/>
    <w:rsid w:val="006E3185"/>
    <w:rsid w:val="006E3AD4"/>
    <w:rsid w:val="006F30AF"/>
    <w:rsid w:val="00701759"/>
    <w:rsid w:val="00704E9E"/>
    <w:rsid w:val="00705C15"/>
    <w:rsid w:val="007110F6"/>
    <w:rsid w:val="007208D1"/>
    <w:rsid w:val="00730579"/>
    <w:rsid w:val="00741D5F"/>
    <w:rsid w:val="00744518"/>
    <w:rsid w:val="00747288"/>
    <w:rsid w:val="00747DD3"/>
    <w:rsid w:val="007549C8"/>
    <w:rsid w:val="00754E50"/>
    <w:rsid w:val="00766D14"/>
    <w:rsid w:val="00767A0F"/>
    <w:rsid w:val="00791272"/>
    <w:rsid w:val="007926AD"/>
    <w:rsid w:val="00797244"/>
    <w:rsid w:val="007A05F6"/>
    <w:rsid w:val="007A4228"/>
    <w:rsid w:val="007A6D2B"/>
    <w:rsid w:val="007B6F4A"/>
    <w:rsid w:val="007D4E25"/>
    <w:rsid w:val="007E1C47"/>
    <w:rsid w:val="007E337A"/>
    <w:rsid w:val="007E5C70"/>
    <w:rsid w:val="007F2FF5"/>
    <w:rsid w:val="007F3F08"/>
    <w:rsid w:val="00804CC6"/>
    <w:rsid w:val="00804F65"/>
    <w:rsid w:val="00817190"/>
    <w:rsid w:val="00817EF3"/>
    <w:rsid w:val="00820F07"/>
    <w:rsid w:val="008260E2"/>
    <w:rsid w:val="008322BD"/>
    <w:rsid w:val="00833F59"/>
    <w:rsid w:val="00834F73"/>
    <w:rsid w:val="00847A1C"/>
    <w:rsid w:val="00864C8A"/>
    <w:rsid w:val="00864CF8"/>
    <w:rsid w:val="00874914"/>
    <w:rsid w:val="00885F72"/>
    <w:rsid w:val="00887363"/>
    <w:rsid w:val="00891422"/>
    <w:rsid w:val="00892E1A"/>
    <w:rsid w:val="008B660A"/>
    <w:rsid w:val="008C01DA"/>
    <w:rsid w:val="008C55A0"/>
    <w:rsid w:val="008E0619"/>
    <w:rsid w:val="008E18ED"/>
    <w:rsid w:val="008F2674"/>
    <w:rsid w:val="008F78E9"/>
    <w:rsid w:val="009179F9"/>
    <w:rsid w:val="00917C7A"/>
    <w:rsid w:val="009204AD"/>
    <w:rsid w:val="009246D4"/>
    <w:rsid w:val="0093051D"/>
    <w:rsid w:val="00933AB7"/>
    <w:rsid w:val="00933E5E"/>
    <w:rsid w:val="00935218"/>
    <w:rsid w:val="00937C52"/>
    <w:rsid w:val="0094007C"/>
    <w:rsid w:val="009403F3"/>
    <w:rsid w:val="009508B0"/>
    <w:rsid w:val="009555B7"/>
    <w:rsid w:val="009567AA"/>
    <w:rsid w:val="009602C9"/>
    <w:rsid w:val="00962183"/>
    <w:rsid w:val="00962B7D"/>
    <w:rsid w:val="00967374"/>
    <w:rsid w:val="009A343A"/>
    <w:rsid w:val="009B2F23"/>
    <w:rsid w:val="009B57B3"/>
    <w:rsid w:val="009D2920"/>
    <w:rsid w:val="009D5AEB"/>
    <w:rsid w:val="009D62F3"/>
    <w:rsid w:val="009E2EBC"/>
    <w:rsid w:val="009F0E33"/>
    <w:rsid w:val="00A149DF"/>
    <w:rsid w:val="00A1755C"/>
    <w:rsid w:val="00A21B90"/>
    <w:rsid w:val="00A22AAC"/>
    <w:rsid w:val="00A41805"/>
    <w:rsid w:val="00A51882"/>
    <w:rsid w:val="00A52AFB"/>
    <w:rsid w:val="00A548CB"/>
    <w:rsid w:val="00A5521C"/>
    <w:rsid w:val="00A643E7"/>
    <w:rsid w:val="00A73C38"/>
    <w:rsid w:val="00A921A7"/>
    <w:rsid w:val="00AB670D"/>
    <w:rsid w:val="00AE0196"/>
    <w:rsid w:val="00AF03C5"/>
    <w:rsid w:val="00B000D8"/>
    <w:rsid w:val="00B00F75"/>
    <w:rsid w:val="00B145B6"/>
    <w:rsid w:val="00B279EB"/>
    <w:rsid w:val="00B34EF9"/>
    <w:rsid w:val="00B420FD"/>
    <w:rsid w:val="00B50C81"/>
    <w:rsid w:val="00B51476"/>
    <w:rsid w:val="00B557F8"/>
    <w:rsid w:val="00B6117E"/>
    <w:rsid w:val="00B815FC"/>
    <w:rsid w:val="00B93FBC"/>
    <w:rsid w:val="00B979ED"/>
    <w:rsid w:val="00BA7DA0"/>
    <w:rsid w:val="00BB1185"/>
    <w:rsid w:val="00BB14E0"/>
    <w:rsid w:val="00BB2EE4"/>
    <w:rsid w:val="00BB4C92"/>
    <w:rsid w:val="00BC2108"/>
    <w:rsid w:val="00BD0E9E"/>
    <w:rsid w:val="00BD1BEC"/>
    <w:rsid w:val="00BD32FF"/>
    <w:rsid w:val="00BF6FE9"/>
    <w:rsid w:val="00C02092"/>
    <w:rsid w:val="00C22CC7"/>
    <w:rsid w:val="00C24D91"/>
    <w:rsid w:val="00C26DB2"/>
    <w:rsid w:val="00C53F14"/>
    <w:rsid w:val="00C600CF"/>
    <w:rsid w:val="00C6084F"/>
    <w:rsid w:val="00C62A66"/>
    <w:rsid w:val="00C66359"/>
    <w:rsid w:val="00C71458"/>
    <w:rsid w:val="00C72EE2"/>
    <w:rsid w:val="00C77613"/>
    <w:rsid w:val="00C828E7"/>
    <w:rsid w:val="00C86719"/>
    <w:rsid w:val="00C870CA"/>
    <w:rsid w:val="00C921DD"/>
    <w:rsid w:val="00CA4BF4"/>
    <w:rsid w:val="00CA6391"/>
    <w:rsid w:val="00CC600B"/>
    <w:rsid w:val="00CE036E"/>
    <w:rsid w:val="00CE3171"/>
    <w:rsid w:val="00CF1601"/>
    <w:rsid w:val="00D00F36"/>
    <w:rsid w:val="00D0172F"/>
    <w:rsid w:val="00D01E33"/>
    <w:rsid w:val="00D068A7"/>
    <w:rsid w:val="00D17476"/>
    <w:rsid w:val="00D17B0E"/>
    <w:rsid w:val="00D21EC0"/>
    <w:rsid w:val="00D32086"/>
    <w:rsid w:val="00D354DD"/>
    <w:rsid w:val="00D35EBB"/>
    <w:rsid w:val="00D37A3F"/>
    <w:rsid w:val="00D4431D"/>
    <w:rsid w:val="00D4667A"/>
    <w:rsid w:val="00D63A1C"/>
    <w:rsid w:val="00D7516F"/>
    <w:rsid w:val="00D95F8E"/>
    <w:rsid w:val="00DA0590"/>
    <w:rsid w:val="00DA09D0"/>
    <w:rsid w:val="00DB3A98"/>
    <w:rsid w:val="00DC1739"/>
    <w:rsid w:val="00DC1788"/>
    <w:rsid w:val="00DE319C"/>
    <w:rsid w:val="00DE4A9F"/>
    <w:rsid w:val="00DF0CA8"/>
    <w:rsid w:val="00DF2B48"/>
    <w:rsid w:val="00DF49A7"/>
    <w:rsid w:val="00DF7317"/>
    <w:rsid w:val="00E0465E"/>
    <w:rsid w:val="00E07EE2"/>
    <w:rsid w:val="00E07FD1"/>
    <w:rsid w:val="00E24573"/>
    <w:rsid w:val="00E25E1E"/>
    <w:rsid w:val="00E27EE7"/>
    <w:rsid w:val="00E35404"/>
    <w:rsid w:val="00E45109"/>
    <w:rsid w:val="00E4615A"/>
    <w:rsid w:val="00E47B7A"/>
    <w:rsid w:val="00E56A44"/>
    <w:rsid w:val="00E577CC"/>
    <w:rsid w:val="00E60269"/>
    <w:rsid w:val="00E658B2"/>
    <w:rsid w:val="00E832E0"/>
    <w:rsid w:val="00E86041"/>
    <w:rsid w:val="00E97830"/>
    <w:rsid w:val="00EC44C0"/>
    <w:rsid w:val="00ED10C6"/>
    <w:rsid w:val="00EE0566"/>
    <w:rsid w:val="00EE0830"/>
    <w:rsid w:val="00EE6CB8"/>
    <w:rsid w:val="00EF0683"/>
    <w:rsid w:val="00F0070C"/>
    <w:rsid w:val="00F00EB7"/>
    <w:rsid w:val="00F04F47"/>
    <w:rsid w:val="00F36AB6"/>
    <w:rsid w:val="00F37A09"/>
    <w:rsid w:val="00F409CE"/>
    <w:rsid w:val="00F4379D"/>
    <w:rsid w:val="00F50D2D"/>
    <w:rsid w:val="00F56C8B"/>
    <w:rsid w:val="00F62639"/>
    <w:rsid w:val="00F66810"/>
    <w:rsid w:val="00F84DF4"/>
    <w:rsid w:val="00F85C97"/>
    <w:rsid w:val="00F96DAE"/>
    <w:rsid w:val="00FA2A4C"/>
    <w:rsid w:val="00FB37D2"/>
    <w:rsid w:val="00FC4EFB"/>
    <w:rsid w:val="00FD068D"/>
    <w:rsid w:val="00FD29AB"/>
    <w:rsid w:val="00FD4F28"/>
    <w:rsid w:val="00FE0875"/>
    <w:rsid w:val="00FE557A"/>
    <w:rsid w:val="00FE6784"/>
    <w:rsid w:val="00FE70C1"/>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9339A5"/>
  <w15:docId w15:val="{BE61A272-0131-4EDF-8044-C1EF3F5E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5E1F1C"/>
    <w:rPr>
      <w:color w:val="660000"/>
      <w:u w:val="none"/>
    </w:rPr>
  </w:style>
  <w:style w:type="character" w:customStyle="1" w:styleId="Mentionnonrsolue1">
    <w:name w:val="Mention non résolue1"/>
    <w:basedOn w:val="Policepardfaut"/>
    <w:uiPriority w:val="99"/>
    <w:semiHidden/>
    <w:unhideWhenUsed/>
    <w:rsid w:val="001D7E20"/>
    <w:rPr>
      <w:color w:val="605E5C"/>
      <w:shd w:val="clear" w:color="auto" w:fill="E1DFDD"/>
    </w:rPr>
  </w:style>
  <w:style w:type="character" w:customStyle="1" w:styleId="solexhl">
    <w:name w:val="solexhl"/>
    <w:basedOn w:val="Policepardfaut"/>
    <w:rsid w:val="0055776B"/>
  </w:style>
  <w:style w:type="paragraph" w:styleId="Commentaire">
    <w:name w:val="annotation text"/>
    <w:basedOn w:val="Normal"/>
    <w:link w:val="CommentaireCar"/>
    <w:uiPriority w:val="99"/>
    <w:unhideWhenUsed/>
    <w:rsid w:val="002E5A47"/>
    <w:rPr>
      <w:sz w:val="20"/>
      <w:lang w:val="fr-CA"/>
    </w:rPr>
  </w:style>
  <w:style w:type="character" w:customStyle="1" w:styleId="CommentaireCar">
    <w:name w:val="Commentaire Car"/>
    <w:basedOn w:val="Policepardfaut"/>
    <w:link w:val="Commentaire"/>
    <w:uiPriority w:val="99"/>
    <w:rsid w:val="002E5A47"/>
    <w:rPr>
      <w:lang w:val="fr-CA"/>
    </w:rPr>
  </w:style>
  <w:style w:type="character" w:styleId="Marquedecommentaire">
    <w:name w:val="annotation reference"/>
    <w:basedOn w:val="Policepardfaut"/>
    <w:uiPriority w:val="99"/>
    <w:semiHidden/>
    <w:unhideWhenUsed/>
    <w:rsid w:val="002E5A47"/>
    <w:rPr>
      <w:sz w:val="16"/>
      <w:szCs w:val="16"/>
    </w:rPr>
  </w:style>
  <w:style w:type="character" w:styleId="Lienvisit">
    <w:name w:val="FollowedHyperlink"/>
    <w:basedOn w:val="Policepardfaut"/>
    <w:uiPriority w:val="99"/>
    <w:semiHidden/>
    <w:unhideWhenUsed/>
    <w:rsid w:val="00B979ED"/>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B979ED"/>
    <w:rPr>
      <w:b/>
      <w:bCs/>
      <w:lang w:val="en-CA"/>
    </w:rPr>
  </w:style>
  <w:style w:type="character" w:customStyle="1" w:styleId="ObjetducommentaireCar">
    <w:name w:val="Objet du commentaire Car"/>
    <w:basedOn w:val="CommentaireCar"/>
    <w:link w:val="Objetducommentaire"/>
    <w:uiPriority w:val="99"/>
    <w:semiHidden/>
    <w:rsid w:val="00B979ED"/>
    <w:rPr>
      <w:b/>
      <w:bCs/>
      <w:lang w:val="fr-CA"/>
    </w:rPr>
  </w:style>
  <w:style w:type="paragraph" w:customStyle="1" w:styleId="sccnormaldoublespacing0">
    <w:name w:val="sccnormaldoublespacing"/>
    <w:basedOn w:val="Normal"/>
    <w:rsid w:val="00364C65"/>
    <w:pPr>
      <w:spacing w:before="100" w:beforeAutospacing="1" w:after="100" w:afterAutospacing="1"/>
    </w:pPr>
    <w:rPr>
      <w:szCs w:val="24"/>
      <w:lang w:val="fr-CA" w:eastAsia="fr-CA"/>
    </w:rPr>
  </w:style>
  <w:style w:type="paragraph" w:styleId="Sansinterligne">
    <w:name w:val="No Spacing"/>
    <w:uiPriority w:val="1"/>
    <w:rsid w:val="00DE4A9F"/>
    <w:rPr>
      <w:sz w:val="24"/>
    </w:rPr>
  </w:style>
  <w:style w:type="paragraph" w:customStyle="1" w:styleId="SCCLsocOtherPartyRoleSeparator">
    <w:name w:val="SCC.Lsoc.OtherPartyRoleSeparator"/>
    <w:basedOn w:val="Normal"/>
    <w:next w:val="Normal"/>
    <w:link w:val="SCCLsocOtherPartyRoleSeparatorChar"/>
    <w:rsid w:val="00DE4A9F"/>
    <w:pPr>
      <w:spacing w:after="480"/>
    </w:pPr>
    <w:rPr>
      <w:rFonts w:eastAsiaTheme="minorHAnsi" w:cstheme="minorBidi"/>
      <w:szCs w:val="22"/>
      <w:lang w:val="fr-CA" w:eastAsia="en-US"/>
    </w:rPr>
  </w:style>
  <w:style w:type="character" w:customStyle="1" w:styleId="SCCLsocOtherPartyRoleSeparatorChar">
    <w:name w:val="SCC.Lsoc.OtherPartyRoleSeparator Char"/>
    <w:basedOn w:val="Policepardfaut"/>
    <w:link w:val="SCCLsocOtherPartyRoleSeparator"/>
    <w:rsid w:val="00DE4A9F"/>
    <w:rPr>
      <w:rFonts w:eastAsiaTheme="minorHAnsi" w:cstheme="minorBidi"/>
      <w:sz w:val="24"/>
      <w:szCs w:val="22"/>
      <w:lang w:val="fr-CA" w:eastAsia="en-US"/>
    </w:rPr>
  </w:style>
  <w:style w:type="paragraph" w:customStyle="1" w:styleId="SCCCoram">
    <w:name w:val="SCC.Coram"/>
    <w:basedOn w:val="Normal"/>
    <w:next w:val="Normal"/>
    <w:link w:val="SCCCoramChar"/>
    <w:rsid w:val="00DE4A9F"/>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DE4A9F"/>
    <w:rPr>
      <w:rFonts w:eastAsiaTheme="minorHAnsi" w:cstheme="minorBidi"/>
      <w:sz w:val="24"/>
      <w:szCs w:val="22"/>
      <w:lang w:val="fr-CA" w:eastAsia="en-US"/>
    </w:rPr>
  </w:style>
  <w:style w:type="character" w:customStyle="1" w:styleId="SCCBanSummaryChar">
    <w:name w:val="SCC.BanSummary Char"/>
    <w:basedOn w:val="Policepardfaut"/>
    <w:link w:val="SCCBanSummary"/>
    <w:rsid w:val="00DE4A9F"/>
    <w:rPr>
      <w:b/>
      <w:sz w:val="24"/>
    </w:rPr>
  </w:style>
  <w:style w:type="table" w:styleId="Grilledutableau">
    <w:name w:val="Table Grid"/>
    <w:basedOn w:val="TableauNormal"/>
    <w:uiPriority w:val="59"/>
    <w:rsid w:val="00DE4A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DE4A9F"/>
    <w:pPr>
      <w:spacing w:after="720"/>
      <w:ind w:left="1166"/>
      <w:contextualSpacing/>
      <w:jc w:val="both"/>
    </w:pPr>
    <w:rPr>
      <w:sz w:val="24"/>
      <w:lang w:val="fr-CA"/>
    </w:rPr>
  </w:style>
  <w:style w:type="paragraph" w:customStyle="1" w:styleId="ContinueParaSuitedupar-AltP">
    <w:name w:val="Continue Para. / Suite du par. - Alt P"/>
    <w:next w:val="ParaNoNdepar-AltN"/>
    <w:uiPriority w:val="1"/>
    <w:qFormat/>
    <w:rsid w:val="00DE4A9F"/>
    <w:pPr>
      <w:spacing w:before="480" w:after="480" w:line="480" w:lineRule="auto"/>
      <w:jc w:val="both"/>
    </w:pPr>
    <w:rPr>
      <w:rFonts w:eastAsiaTheme="minorHAnsi" w:cstheme="minorBidi"/>
      <w:sz w:val="24"/>
      <w:szCs w:val="22"/>
      <w:lang w:val="fr-CA" w:eastAsia="en-US"/>
    </w:rPr>
  </w:style>
  <w:style w:type="paragraph" w:customStyle="1" w:styleId="ParaNoNdepar-AltN">
    <w:name w:val="Para. No. / Nº de par. - Alt N"/>
    <w:link w:val="ParaNoNdepar-AltNChar"/>
    <w:qFormat/>
    <w:rsid w:val="00DE4A9F"/>
    <w:pPr>
      <w:numPr>
        <w:numId w:val="6"/>
      </w:numPr>
      <w:spacing w:before="480" w:after="480" w:line="480" w:lineRule="auto"/>
      <w:jc w:val="both"/>
    </w:pPr>
    <w:rPr>
      <w:rFonts w:eastAsiaTheme="minorEastAsia" w:cstheme="minorBidi"/>
      <w:sz w:val="24"/>
      <w:szCs w:val="22"/>
      <w:lang w:val="fr-CA" w:eastAsia="en-US"/>
    </w:rPr>
  </w:style>
  <w:style w:type="character" w:customStyle="1" w:styleId="ParaNoNdepar-AltNChar">
    <w:name w:val="Para. No. / Nº de par. - Alt N Char"/>
    <w:basedOn w:val="Policepardfaut"/>
    <w:link w:val="ParaNoNdepar-AltN"/>
    <w:rsid w:val="00DE4A9F"/>
    <w:rPr>
      <w:rFonts w:eastAsiaTheme="minorEastAsia" w:cstheme="minorBidi"/>
      <w:sz w:val="24"/>
      <w:szCs w:val="22"/>
      <w:lang w:val="fr-CA" w:eastAsia="en-US"/>
    </w:rPr>
  </w:style>
  <w:style w:type="paragraph" w:customStyle="1" w:styleId="JudgeJuge">
    <w:name w:val="Judge / Juge"/>
    <w:uiPriority w:val="3"/>
    <w:rsid w:val="00DE4A9F"/>
    <w:pPr>
      <w:tabs>
        <w:tab w:val="left" w:pos="1166"/>
      </w:tabs>
      <w:spacing w:after="480" w:line="480" w:lineRule="auto"/>
    </w:pPr>
    <w:rPr>
      <w:smallCaps/>
      <w:sz w:val="24"/>
      <w:lang w:val="fr-CA"/>
    </w:rPr>
  </w:style>
  <w:style w:type="paragraph" w:customStyle="1" w:styleId="Title1LevelTitre1Niveau-AltL">
    <w:name w:val="Title 1 Level / Titre 1 Niveau - Alt L"/>
    <w:next w:val="ParaNoNdepar-AltN"/>
    <w:uiPriority w:val="4"/>
    <w:qFormat/>
    <w:rsid w:val="00DE4A9F"/>
    <w:pPr>
      <w:numPr>
        <w:numId w:val="7"/>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DE4A9F"/>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DE4A9F"/>
    <w:pPr>
      <w:numPr>
        <w:ilvl w:val="2"/>
      </w:numPr>
      <w:outlineLvl w:val="2"/>
    </w:pPr>
  </w:style>
  <w:style w:type="paragraph" w:customStyle="1" w:styleId="Title4LevelTitre4Niveau">
    <w:name w:val="Title 4 Level / Titre 4 Niveau"/>
    <w:basedOn w:val="Title3LevelTitre3Niveau"/>
    <w:next w:val="ParaNoNdepar-AltN"/>
    <w:uiPriority w:val="4"/>
    <w:qFormat/>
    <w:rsid w:val="00DE4A9F"/>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DE4A9F"/>
    <w:pPr>
      <w:numPr>
        <w:ilvl w:val="4"/>
      </w:numPr>
      <w:outlineLvl w:val="4"/>
    </w:pPr>
  </w:style>
  <w:style w:type="paragraph" w:customStyle="1" w:styleId="TitleTitre-AltT">
    <w:name w:val="Title / Titre - Alt T"/>
    <w:next w:val="ParaNoNdepar-AltN"/>
    <w:uiPriority w:val="3"/>
    <w:qFormat/>
    <w:rsid w:val="00DE4A9F"/>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DE4A9F"/>
    <w:pPr>
      <w:numPr>
        <w:ilvl w:val="5"/>
      </w:numPr>
      <w:outlineLvl w:val="5"/>
    </w:pPr>
    <w:rPr>
      <w:i/>
      <w:u w:val="none"/>
    </w:rPr>
  </w:style>
  <w:style w:type="paragraph" w:styleId="Notedebasdepage">
    <w:name w:val="footnote text"/>
    <w:basedOn w:val="Normal"/>
    <w:link w:val="NotedebasdepageCar"/>
    <w:uiPriority w:val="99"/>
    <w:unhideWhenUsed/>
    <w:rsid w:val="00DE4A9F"/>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DE4A9F"/>
  </w:style>
  <w:style w:type="paragraph" w:styleId="NormalWeb">
    <w:name w:val="Normal (Web)"/>
    <w:basedOn w:val="Normal"/>
    <w:uiPriority w:val="99"/>
    <w:unhideWhenUsed/>
    <w:rsid w:val="00DE4A9F"/>
    <w:rPr>
      <w:szCs w:val="24"/>
      <w:lang w:val="fr-CA"/>
    </w:rPr>
  </w:style>
  <w:style w:type="paragraph" w:customStyle="1" w:styleId="CITATION0">
    <w:name w:val="CITATION"/>
    <w:basedOn w:val="Normal"/>
    <w:next w:val="Normal"/>
    <w:qFormat/>
    <w:rsid w:val="00DE4A9F"/>
    <w:pPr>
      <w:ind w:left="720" w:right="720"/>
      <w:jc w:val="both"/>
    </w:pPr>
    <w:rPr>
      <w:lang w:val="fr-CA"/>
    </w:rPr>
  </w:style>
  <w:style w:type="paragraph" w:styleId="Paragraphedeliste">
    <w:name w:val="List Paragraph"/>
    <w:basedOn w:val="Normal"/>
    <w:uiPriority w:val="34"/>
    <w:qFormat/>
    <w:rsid w:val="00DE4A9F"/>
    <w:pPr>
      <w:spacing w:after="160" w:line="259" w:lineRule="auto"/>
      <w:ind w:left="720"/>
      <w:contextualSpacing/>
    </w:pPr>
    <w:rPr>
      <w:rFonts w:asciiTheme="minorHAnsi" w:eastAsiaTheme="minorHAnsi" w:hAnsiTheme="minorHAnsi" w:cstheme="minorBidi"/>
      <w:sz w:val="22"/>
      <w:szCs w:val="22"/>
      <w:lang w:eastAsia="en-US"/>
    </w:rPr>
  </w:style>
  <w:style w:type="paragraph" w:styleId="PrformatHTML">
    <w:name w:val="HTML Preformatted"/>
    <w:basedOn w:val="Normal"/>
    <w:link w:val="PrformatHTMLCar"/>
    <w:uiPriority w:val="99"/>
    <w:semiHidden/>
    <w:unhideWhenUsed/>
    <w:rsid w:val="00DE4A9F"/>
    <w:rPr>
      <w:rFonts w:ascii="Consolas" w:hAnsi="Consolas"/>
      <w:sz w:val="20"/>
      <w:lang w:val="fr-CA"/>
    </w:rPr>
  </w:style>
  <w:style w:type="character" w:customStyle="1" w:styleId="PrformatHTMLCar">
    <w:name w:val="Préformaté HTML Car"/>
    <w:basedOn w:val="Policepardfaut"/>
    <w:link w:val="PrformatHTML"/>
    <w:uiPriority w:val="99"/>
    <w:semiHidden/>
    <w:rsid w:val="00DE4A9F"/>
    <w:rPr>
      <w:rFonts w:ascii="Consolas" w:hAnsi="Consolas"/>
      <w:lang w:val="fr-CA"/>
    </w:rPr>
  </w:style>
  <w:style w:type="paragraph" w:styleId="Rvision">
    <w:name w:val="Revision"/>
    <w:hidden/>
    <w:uiPriority w:val="99"/>
    <w:semiHidden/>
    <w:rsid w:val="00DE4A9F"/>
    <w:rPr>
      <w:sz w:val="24"/>
      <w:lang w:val="fr-CA"/>
    </w:rPr>
  </w:style>
  <w:style w:type="table" w:customStyle="1" w:styleId="TableGrid1">
    <w:name w:val="Table Grid1"/>
    <w:basedOn w:val="TableauNormal"/>
    <w:next w:val="Grilledutableau"/>
    <w:uiPriority w:val="59"/>
    <w:rsid w:val="00DE4A9F"/>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885">
      <w:bodyDiv w:val="1"/>
      <w:marLeft w:val="0"/>
      <w:marRight w:val="0"/>
      <w:marTop w:val="0"/>
      <w:marBottom w:val="0"/>
      <w:divBdr>
        <w:top w:val="none" w:sz="0" w:space="0" w:color="auto"/>
        <w:left w:val="none" w:sz="0" w:space="0" w:color="auto"/>
        <w:bottom w:val="none" w:sz="0" w:space="0" w:color="auto"/>
        <w:right w:val="none" w:sz="0" w:space="0" w:color="auto"/>
      </w:divBdr>
    </w:div>
    <w:div w:id="1198391457">
      <w:bodyDiv w:val="1"/>
      <w:marLeft w:val="0"/>
      <w:marRight w:val="0"/>
      <w:marTop w:val="0"/>
      <w:marBottom w:val="0"/>
      <w:divBdr>
        <w:top w:val="none" w:sz="0" w:space="0" w:color="auto"/>
        <w:left w:val="none" w:sz="0" w:space="0" w:color="auto"/>
        <w:bottom w:val="none" w:sz="0" w:space="0" w:color="auto"/>
        <w:right w:val="none" w:sz="0" w:space="0" w:color="auto"/>
      </w:divBdr>
    </w:div>
    <w:div w:id="134139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toyens.soquij.qc.ca/php/decision.php?ID=439186CF8DB392E15A68CD9685F86C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15647</Words>
  <Characters>81727</Characters>
  <Application>Microsoft Office Word</Application>
  <DocSecurity>0</DocSecurity>
  <Lines>681</Lines>
  <Paragraphs>194</Paragraphs>
  <ScaleCrop>false</ScaleCrop>
  <Company/>
  <LinksUpToDate>false</LinksUpToDate>
  <CharactersWithSpaces>97180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Deschênes, Gabrielle</cp:lastModifiedBy>
  <cp:revision>2</cp:revision>
  <dcterms:created xsi:type="dcterms:W3CDTF">2026-04-09T22:41:00Z</dcterms:created>
  <dcterms:modified xsi:type="dcterms:W3CDTF">2026-04-10T13:46:00Z</dcterms:modified>
</cp:coreProperties>
</file>