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Layout w:type="fixed"/>
        <w:tblCellMar>
          <w:left w:w="0" w:type="dxa"/>
          <w:right w:w="0" w:type="dxa"/>
        </w:tblCellMar>
        <w:tblLook w:val="0000" w:firstRow="0" w:lastRow="0" w:firstColumn="0" w:lastColumn="0" w:noHBand="0" w:noVBand="0"/>
      </w:tblPr>
      <w:tblGrid>
        <w:gridCol w:w="1030"/>
        <w:gridCol w:w="104"/>
        <w:gridCol w:w="486"/>
        <w:gridCol w:w="2350"/>
        <w:gridCol w:w="3402"/>
        <w:gridCol w:w="1988"/>
      </w:tblGrid>
      <w:tr w:rsidR="008F364A" w14:paraId="267440E5" w14:textId="77777777" w:rsidTr="008D18FC">
        <w:trPr>
          <w:trHeight w:val="248"/>
        </w:trPr>
        <w:tc>
          <w:tcPr>
            <w:tcW w:w="7372" w:type="dxa"/>
            <w:gridSpan w:val="5"/>
          </w:tcPr>
          <w:p w14:paraId="251D83CF" w14:textId="6E279436" w:rsidR="008F364A" w:rsidRPr="00C91A91" w:rsidRDefault="00C91A91" w:rsidP="00C91A91">
            <w:pPr>
              <w:pStyle w:val="zSoquijdatRepertorie"/>
              <w:rPr>
                <w:rFonts w:cs="Arial"/>
              </w:rPr>
            </w:pPr>
            <w:r>
              <w:rPr>
                <w:rFonts w:cs="Arial"/>
              </w:rPr>
              <w:t>R. c. Gagnon</w:t>
            </w:r>
          </w:p>
        </w:tc>
        <w:tc>
          <w:tcPr>
            <w:tcW w:w="1988" w:type="dxa"/>
          </w:tcPr>
          <w:p w14:paraId="78566BD8" w14:textId="0EE144BA" w:rsidR="008F364A" w:rsidRPr="00E23B33" w:rsidRDefault="00E23B33" w:rsidP="00E23B33">
            <w:pPr>
              <w:pStyle w:val="zSoquijdatRefNeutre"/>
              <w:jc w:val="right"/>
              <w:rPr>
                <w:rFonts w:cs="Arial"/>
              </w:rPr>
            </w:pPr>
            <w:r w:rsidRPr="00E23B33">
              <w:rPr>
                <w:rFonts w:cs="Arial"/>
              </w:rPr>
              <w:t>2026 QCCA 583</w:t>
            </w:r>
          </w:p>
        </w:tc>
      </w:tr>
      <w:tr w:rsidR="008F364A" w14:paraId="3DCE7DF6" w14:textId="77777777" w:rsidTr="008D18FC">
        <w:trPr>
          <w:trHeight w:val="247"/>
        </w:trPr>
        <w:tc>
          <w:tcPr>
            <w:tcW w:w="9360" w:type="dxa"/>
            <w:gridSpan w:val="6"/>
          </w:tcPr>
          <w:p w14:paraId="54EA5BBE" w14:textId="77777777" w:rsidR="008F364A" w:rsidRDefault="00740A17">
            <w:pPr>
              <w:pStyle w:val="zSoquijlblCour"/>
            </w:pPr>
            <w:r>
              <w:t>COUR D’APPEL</w:t>
            </w:r>
          </w:p>
        </w:tc>
      </w:tr>
      <w:tr w:rsidR="008F364A" w14:paraId="1927A965" w14:textId="77777777" w:rsidTr="00DE01FB">
        <w:trPr>
          <w:trHeight w:val="669"/>
        </w:trPr>
        <w:tc>
          <w:tcPr>
            <w:tcW w:w="9360" w:type="dxa"/>
            <w:gridSpan w:val="6"/>
          </w:tcPr>
          <w:p w14:paraId="35C31C76" w14:textId="77777777" w:rsidR="008F364A" w:rsidRDefault="008F364A">
            <w:pPr>
              <w:pStyle w:val="zSoquijdatDivision"/>
            </w:pPr>
          </w:p>
        </w:tc>
      </w:tr>
      <w:tr w:rsidR="008F364A" w14:paraId="36ED9A7F" w14:textId="77777777" w:rsidTr="008D18FC">
        <w:tc>
          <w:tcPr>
            <w:tcW w:w="9360" w:type="dxa"/>
            <w:gridSpan w:val="6"/>
          </w:tcPr>
          <w:p w14:paraId="219A48F5" w14:textId="77777777" w:rsidR="008F364A" w:rsidRDefault="00740A17">
            <w:pPr>
              <w:pStyle w:val="zSoquijlblPays"/>
            </w:pPr>
            <w:r>
              <w:t>CANADA</w:t>
            </w:r>
          </w:p>
        </w:tc>
      </w:tr>
      <w:tr w:rsidR="008F364A" w14:paraId="23B4A0C0" w14:textId="77777777" w:rsidTr="008D18FC">
        <w:tc>
          <w:tcPr>
            <w:tcW w:w="9360" w:type="dxa"/>
            <w:gridSpan w:val="6"/>
          </w:tcPr>
          <w:p w14:paraId="544CDC84" w14:textId="77777777" w:rsidR="008F364A" w:rsidRDefault="00740A17">
            <w:pPr>
              <w:pStyle w:val="zSoquijlblProvince"/>
            </w:pPr>
            <w:r>
              <w:t>PROVINCE DE QUÉBEC</w:t>
            </w:r>
          </w:p>
        </w:tc>
      </w:tr>
      <w:tr w:rsidR="008F364A" w14:paraId="1F9D96C9" w14:textId="77777777" w:rsidTr="007F79C4">
        <w:tc>
          <w:tcPr>
            <w:tcW w:w="1134" w:type="dxa"/>
            <w:gridSpan w:val="2"/>
          </w:tcPr>
          <w:p w14:paraId="6387B5B2" w14:textId="77777777" w:rsidR="008F364A" w:rsidRDefault="008E5E9D">
            <w:pPr>
              <w:pStyle w:val="zSoquijlblGreffe"/>
            </w:pPr>
            <w:r w:rsidRPr="008E5E9D">
              <w:t>SIÈGE</w:t>
            </w:r>
            <w:r w:rsidR="00740A17">
              <w:t xml:space="preserve"> DE</w:t>
            </w:r>
          </w:p>
          <w:p w14:paraId="68526699" w14:textId="77777777" w:rsidR="008F364A" w:rsidRDefault="008F364A">
            <w:pPr>
              <w:pStyle w:val="zSoquijlblGreffe"/>
            </w:pPr>
          </w:p>
        </w:tc>
        <w:tc>
          <w:tcPr>
            <w:tcW w:w="8226" w:type="dxa"/>
            <w:gridSpan w:val="4"/>
          </w:tcPr>
          <w:p w14:paraId="3C36DBDE" w14:textId="47C2218B" w:rsidR="008F364A" w:rsidRDefault="007F79C4" w:rsidP="00AE1B6D">
            <w:pPr>
              <w:pStyle w:val="zSoquijdatGreffe"/>
              <w:ind w:left="-22"/>
            </w:pPr>
            <w:bookmarkStart w:id="0" w:name="NomGreffe"/>
            <w:r>
              <w:t xml:space="preserve"> MONTRÉAL</w:t>
            </w:r>
            <w:bookmarkEnd w:id="0"/>
          </w:p>
        </w:tc>
      </w:tr>
      <w:tr w:rsidR="008F364A" w14:paraId="167F59C2" w14:textId="77777777" w:rsidTr="008D18FC">
        <w:tc>
          <w:tcPr>
            <w:tcW w:w="1030" w:type="dxa"/>
          </w:tcPr>
          <w:p w14:paraId="7BAE6D44" w14:textId="77777777" w:rsidR="008F364A" w:rsidRDefault="00740A17">
            <w:pPr>
              <w:pStyle w:val="zSoquijlblNoDossier"/>
            </w:pPr>
            <w:r>
              <w:t>N° :</w:t>
            </w:r>
          </w:p>
        </w:tc>
        <w:tc>
          <w:tcPr>
            <w:tcW w:w="8330" w:type="dxa"/>
            <w:gridSpan w:val="5"/>
          </w:tcPr>
          <w:p w14:paraId="6DA2B825" w14:textId="108083FD" w:rsidR="008F364A" w:rsidRDefault="007F79C4">
            <w:pPr>
              <w:pStyle w:val="zSoquijdatNoDossier"/>
            </w:pPr>
            <w:bookmarkStart w:id="1" w:name="NoDossier"/>
            <w:r>
              <w:t>500-10-700102-245</w:t>
            </w:r>
            <w:bookmarkEnd w:id="1"/>
          </w:p>
        </w:tc>
      </w:tr>
      <w:tr w:rsidR="007F79C4" w14:paraId="52EC038F" w14:textId="77777777" w:rsidTr="008D18FC">
        <w:tc>
          <w:tcPr>
            <w:tcW w:w="9360" w:type="dxa"/>
            <w:gridSpan w:val="6"/>
          </w:tcPr>
          <w:p w14:paraId="74ED6942" w14:textId="35E37BC7" w:rsidR="007F79C4" w:rsidRDefault="007F79C4" w:rsidP="007F79C4">
            <w:pPr>
              <w:pStyle w:val="zSoquijdatNoDossierAnt"/>
            </w:pPr>
            <w:r>
              <w:t>(765-01-035011-192, SÉQ. 002)</w:t>
            </w:r>
          </w:p>
        </w:tc>
      </w:tr>
      <w:tr w:rsidR="008F364A" w14:paraId="4139E0BA" w14:textId="77777777" w:rsidTr="008D18FC">
        <w:tc>
          <w:tcPr>
            <w:tcW w:w="9360" w:type="dxa"/>
            <w:gridSpan w:val="6"/>
          </w:tcPr>
          <w:p w14:paraId="2EA313C3" w14:textId="77777777" w:rsidR="008F364A" w:rsidRDefault="008F364A"/>
        </w:tc>
      </w:tr>
      <w:tr w:rsidR="008F364A" w14:paraId="0F84B87B" w14:textId="77777777" w:rsidTr="008D18FC">
        <w:tc>
          <w:tcPr>
            <w:tcW w:w="1030" w:type="dxa"/>
          </w:tcPr>
          <w:p w14:paraId="646F24F2" w14:textId="77777777" w:rsidR="008F364A" w:rsidRDefault="00740A17">
            <w:pPr>
              <w:pStyle w:val="zSoquijlblDateJugement"/>
            </w:pPr>
            <w:r>
              <w:t>DATE :</w:t>
            </w:r>
          </w:p>
        </w:tc>
        <w:tc>
          <w:tcPr>
            <w:tcW w:w="8330" w:type="dxa"/>
            <w:gridSpan w:val="5"/>
          </w:tcPr>
          <w:p w14:paraId="16E94EE7" w14:textId="11035318" w:rsidR="008F364A" w:rsidRDefault="006B0837">
            <w:pPr>
              <w:pStyle w:val="zSoquijdatDateJugement"/>
            </w:pPr>
            <w:r>
              <w:t>29 avril 2026</w:t>
            </w:r>
          </w:p>
        </w:tc>
      </w:tr>
      <w:tr w:rsidR="008F364A" w14:paraId="08A2DB40" w14:textId="77777777" w:rsidTr="008D18FC">
        <w:tc>
          <w:tcPr>
            <w:tcW w:w="9360" w:type="dxa"/>
            <w:gridSpan w:val="6"/>
            <w:tcBorders>
              <w:bottom w:val="single" w:sz="8" w:space="0" w:color="auto"/>
            </w:tcBorders>
          </w:tcPr>
          <w:p w14:paraId="71A601E0" w14:textId="77777777" w:rsidR="008F364A" w:rsidRDefault="008F364A"/>
        </w:tc>
      </w:tr>
      <w:tr w:rsidR="008F364A" w14:paraId="295D4B29" w14:textId="77777777" w:rsidTr="008D18FC">
        <w:tc>
          <w:tcPr>
            <w:tcW w:w="9360" w:type="dxa"/>
            <w:gridSpan w:val="6"/>
            <w:tcBorders>
              <w:top w:val="single" w:sz="8" w:space="0" w:color="auto"/>
            </w:tcBorders>
          </w:tcPr>
          <w:p w14:paraId="6AC1D6E0" w14:textId="77777777" w:rsidR="008F364A" w:rsidRDefault="008F364A"/>
        </w:tc>
      </w:tr>
      <w:tr w:rsidR="008F364A" w14:paraId="6DE2AAE9" w14:textId="77777777" w:rsidTr="008D18FC">
        <w:tc>
          <w:tcPr>
            <w:tcW w:w="1620" w:type="dxa"/>
            <w:gridSpan w:val="3"/>
          </w:tcPr>
          <w:p w14:paraId="7B191A10" w14:textId="77777777" w:rsidR="008F364A" w:rsidRDefault="00B70485" w:rsidP="00423DF1">
            <w:pPr>
              <w:pStyle w:val="zSoquijlblJuge"/>
              <w:ind w:right="-142"/>
            </w:pPr>
            <w:bookmarkStart w:id="2" w:name="FORMATION"/>
            <w:r>
              <w:t>FORMATION</w:t>
            </w:r>
            <w:r w:rsidR="00B513C9">
              <w:t> </w:t>
            </w:r>
            <w:r w:rsidR="00740A17">
              <w:t>:</w:t>
            </w:r>
            <w:bookmarkEnd w:id="2"/>
          </w:p>
        </w:tc>
        <w:tc>
          <w:tcPr>
            <w:tcW w:w="2350" w:type="dxa"/>
          </w:tcPr>
          <w:p w14:paraId="0D09E488" w14:textId="77777777" w:rsidR="008F364A" w:rsidRDefault="00740A17">
            <w:pPr>
              <w:pStyle w:val="zSoquijdatQteJuge"/>
            </w:pPr>
            <w:bookmarkStart w:id="3" w:name="Honorables"/>
            <w:r>
              <w:t>LES HONORABLES</w:t>
            </w:r>
            <w:bookmarkEnd w:id="3"/>
          </w:p>
        </w:tc>
        <w:tc>
          <w:tcPr>
            <w:tcW w:w="5390" w:type="dxa"/>
            <w:gridSpan w:val="2"/>
          </w:tcPr>
          <w:p w14:paraId="4F90EDAD" w14:textId="5F80E8E0" w:rsidR="008F364A" w:rsidRDefault="007F79C4">
            <w:pPr>
              <w:pStyle w:val="zSoquijdatJuge"/>
            </w:pPr>
            <w:bookmarkStart w:id="4" w:name="NomJuge1"/>
            <w:r>
              <w:t>YVES-MARIE MORISSETTE, J.C.A.</w:t>
            </w:r>
            <w:bookmarkEnd w:id="4"/>
          </w:p>
          <w:p w14:paraId="05FAEF80" w14:textId="213D7508" w:rsidR="008F364A" w:rsidRPr="007F79C4" w:rsidRDefault="007F79C4">
            <w:pPr>
              <w:pStyle w:val="zSoquijdatJuge"/>
              <w:rPr>
                <w:lang w:val="en-CA"/>
              </w:rPr>
            </w:pPr>
            <w:bookmarkStart w:id="5" w:name="NomJuge2"/>
            <w:r w:rsidRPr="007F79C4">
              <w:rPr>
                <w:lang w:val="en-CA"/>
              </w:rPr>
              <w:t>PATRICK HEALY, J.C.A.</w:t>
            </w:r>
            <w:bookmarkEnd w:id="5"/>
          </w:p>
          <w:p w14:paraId="08CE5013" w14:textId="4349E823" w:rsidR="005A78BF" w:rsidRDefault="007F79C4" w:rsidP="007F79C4">
            <w:pPr>
              <w:pStyle w:val="zSoquijdatJuge"/>
              <w:rPr>
                <w:lang w:val="de-DE"/>
              </w:rPr>
            </w:pPr>
            <w:bookmarkStart w:id="6" w:name="_Hlt520513784"/>
            <w:bookmarkStart w:id="7" w:name="NomJuge3"/>
            <w:bookmarkEnd w:id="6"/>
            <w:r>
              <w:t>LORI RENÉE WEITZMAN, J.C.A.</w:t>
            </w:r>
            <w:bookmarkEnd w:id="7"/>
          </w:p>
        </w:tc>
      </w:tr>
      <w:tr w:rsidR="008F364A" w14:paraId="0CF030D3" w14:textId="77777777" w:rsidTr="008D18FC">
        <w:tc>
          <w:tcPr>
            <w:tcW w:w="9360" w:type="dxa"/>
            <w:gridSpan w:val="6"/>
            <w:tcBorders>
              <w:bottom w:val="single" w:sz="8" w:space="0" w:color="auto"/>
            </w:tcBorders>
          </w:tcPr>
          <w:p w14:paraId="2BC3ADD3" w14:textId="77777777" w:rsidR="008F364A" w:rsidRDefault="008F364A">
            <w:pPr>
              <w:rPr>
                <w:lang w:val="de-DE"/>
              </w:rPr>
            </w:pPr>
          </w:p>
        </w:tc>
      </w:tr>
      <w:tr w:rsidR="008F364A" w14:paraId="5DC43679" w14:textId="77777777" w:rsidTr="008D18FC">
        <w:tc>
          <w:tcPr>
            <w:tcW w:w="9360" w:type="dxa"/>
            <w:gridSpan w:val="6"/>
          </w:tcPr>
          <w:p w14:paraId="758DD8D4" w14:textId="77777777" w:rsidR="008F364A" w:rsidRDefault="008F364A">
            <w:pPr>
              <w:pStyle w:val="zSoquijlblTitrePartie"/>
              <w:rPr>
                <w:lang w:val="de-DE"/>
              </w:rPr>
            </w:pPr>
          </w:p>
        </w:tc>
      </w:tr>
      <w:tr w:rsidR="008F364A" w14:paraId="56249B8D" w14:textId="77777777" w:rsidTr="008D18FC">
        <w:tc>
          <w:tcPr>
            <w:tcW w:w="9360" w:type="dxa"/>
            <w:gridSpan w:val="6"/>
          </w:tcPr>
          <w:p w14:paraId="4B6AAABB" w14:textId="5BA1CED4" w:rsidR="008F364A" w:rsidRDefault="007F79C4">
            <w:pPr>
              <w:pStyle w:val="zSoquijdatNomPartieDem"/>
              <w:rPr>
                <w:lang w:val="de-DE"/>
              </w:rPr>
            </w:pPr>
            <w:r>
              <w:t>SA MAJESTÉ LE ROI</w:t>
            </w:r>
          </w:p>
        </w:tc>
      </w:tr>
      <w:tr w:rsidR="008F364A" w14:paraId="53EC6A69" w14:textId="77777777" w:rsidTr="008D18FC">
        <w:tc>
          <w:tcPr>
            <w:tcW w:w="9360" w:type="dxa"/>
            <w:gridSpan w:val="6"/>
          </w:tcPr>
          <w:p w14:paraId="55706556" w14:textId="2C9235E9" w:rsidR="008F364A" w:rsidRDefault="007F79C4">
            <w:pPr>
              <w:pStyle w:val="zSoquijdatQtePartieDem"/>
              <w:rPr>
                <w:lang w:val="de-DE"/>
              </w:rPr>
            </w:pPr>
            <w:r>
              <w:t>APPELANT – poursuivant</w:t>
            </w:r>
          </w:p>
        </w:tc>
      </w:tr>
      <w:tr w:rsidR="007F79C4" w14:paraId="1B1F09F0" w14:textId="77777777" w:rsidTr="008D18FC">
        <w:tc>
          <w:tcPr>
            <w:tcW w:w="9360" w:type="dxa"/>
            <w:gridSpan w:val="6"/>
          </w:tcPr>
          <w:p w14:paraId="10EE2571" w14:textId="407A66E0" w:rsidR="007F79C4" w:rsidRDefault="007F79C4" w:rsidP="007F79C4">
            <w:pPr>
              <w:pStyle w:val="zSoquijlblLienParties"/>
            </w:pPr>
            <w:r>
              <w:t>et</w:t>
            </w:r>
          </w:p>
        </w:tc>
      </w:tr>
      <w:tr w:rsidR="007F79C4" w14:paraId="0D50EC83" w14:textId="77777777" w:rsidTr="008D18FC">
        <w:tc>
          <w:tcPr>
            <w:tcW w:w="9360" w:type="dxa"/>
            <w:gridSpan w:val="6"/>
          </w:tcPr>
          <w:p w14:paraId="75926C48" w14:textId="77777777" w:rsidR="007F79C4" w:rsidRDefault="007F79C4" w:rsidP="007F79C4">
            <w:pPr>
              <w:pStyle w:val="zSoquijlblLienParties"/>
            </w:pPr>
          </w:p>
        </w:tc>
      </w:tr>
      <w:tr w:rsidR="007F79C4" w14:paraId="5E42F95F" w14:textId="77777777" w:rsidTr="008D18FC">
        <w:tc>
          <w:tcPr>
            <w:tcW w:w="9360" w:type="dxa"/>
            <w:gridSpan w:val="6"/>
          </w:tcPr>
          <w:p w14:paraId="09E98293" w14:textId="69105CE6" w:rsidR="007F79C4" w:rsidRDefault="007F79C4" w:rsidP="007F79C4">
            <w:pPr>
              <w:pStyle w:val="zSoquijdatNomPartieDem"/>
            </w:pPr>
            <w:r>
              <w:t>PROCUREUR GÉNÉRAL DU QUÉBEC</w:t>
            </w:r>
          </w:p>
        </w:tc>
      </w:tr>
      <w:tr w:rsidR="007F79C4" w14:paraId="40134B4D" w14:textId="77777777" w:rsidTr="008D18FC">
        <w:tc>
          <w:tcPr>
            <w:tcW w:w="9360" w:type="dxa"/>
            <w:gridSpan w:val="6"/>
          </w:tcPr>
          <w:p w14:paraId="0DE5B311" w14:textId="470B2359" w:rsidR="007F79C4" w:rsidRDefault="00446536">
            <w:pPr>
              <w:pStyle w:val="zSoquijdatQtePartieDem"/>
            </w:pPr>
            <w:r>
              <w:t>APPELANT</w:t>
            </w:r>
            <w:r w:rsidR="007F79C4">
              <w:t xml:space="preserve"> – mis en cause</w:t>
            </w:r>
          </w:p>
        </w:tc>
      </w:tr>
      <w:tr w:rsidR="008F364A" w14:paraId="36ED37B8" w14:textId="77777777" w:rsidTr="008D18FC">
        <w:tc>
          <w:tcPr>
            <w:tcW w:w="9360" w:type="dxa"/>
            <w:gridSpan w:val="6"/>
          </w:tcPr>
          <w:p w14:paraId="2FBB13A4" w14:textId="77777777" w:rsidR="008F364A" w:rsidRDefault="00740A17">
            <w:pPr>
              <w:pStyle w:val="zSoquijlblLienParties"/>
              <w:rPr>
                <w:lang w:val="en-CA"/>
              </w:rPr>
            </w:pPr>
            <w:r>
              <w:rPr>
                <w:lang w:val="en-CA"/>
              </w:rPr>
              <w:t>c.</w:t>
            </w:r>
          </w:p>
        </w:tc>
      </w:tr>
      <w:tr w:rsidR="008F364A" w14:paraId="44FB67C3" w14:textId="77777777" w:rsidTr="008D18FC">
        <w:tc>
          <w:tcPr>
            <w:tcW w:w="9360" w:type="dxa"/>
            <w:gridSpan w:val="6"/>
          </w:tcPr>
          <w:p w14:paraId="457F7013" w14:textId="77777777" w:rsidR="008F364A" w:rsidRDefault="008F364A">
            <w:pPr>
              <w:rPr>
                <w:lang w:val="en-CA"/>
              </w:rPr>
            </w:pPr>
          </w:p>
        </w:tc>
      </w:tr>
      <w:tr w:rsidR="008F364A" w14:paraId="554B10BA" w14:textId="77777777" w:rsidTr="008D18FC">
        <w:tc>
          <w:tcPr>
            <w:tcW w:w="9360" w:type="dxa"/>
            <w:gridSpan w:val="6"/>
          </w:tcPr>
          <w:p w14:paraId="7BC87C07" w14:textId="384672BF" w:rsidR="008F364A" w:rsidRDefault="007F79C4">
            <w:pPr>
              <w:pStyle w:val="zSoquijdatNomPartieDef"/>
              <w:rPr>
                <w:lang w:val="en-CA"/>
              </w:rPr>
            </w:pPr>
            <w:r>
              <w:t>ISABELLE GAGNON</w:t>
            </w:r>
          </w:p>
        </w:tc>
      </w:tr>
      <w:tr w:rsidR="008F364A" w14:paraId="5922BB89" w14:textId="77777777" w:rsidTr="008D18FC">
        <w:tc>
          <w:tcPr>
            <w:tcW w:w="9360" w:type="dxa"/>
            <w:gridSpan w:val="6"/>
          </w:tcPr>
          <w:p w14:paraId="3BCD96E6" w14:textId="3A5A0290" w:rsidR="008F364A" w:rsidRDefault="007F79C4">
            <w:pPr>
              <w:pStyle w:val="zSoquijdatQtePartieDef"/>
              <w:rPr>
                <w:lang w:val="en-CA"/>
              </w:rPr>
            </w:pPr>
            <w:r>
              <w:t>INTIMÉE – accusée</w:t>
            </w:r>
          </w:p>
        </w:tc>
      </w:tr>
      <w:tr w:rsidR="008F364A" w14:paraId="13BE5727" w14:textId="77777777" w:rsidTr="008D18FC">
        <w:tc>
          <w:tcPr>
            <w:tcW w:w="9360" w:type="dxa"/>
            <w:gridSpan w:val="6"/>
          </w:tcPr>
          <w:p w14:paraId="248169A3" w14:textId="77777777" w:rsidR="008F364A" w:rsidRDefault="008F364A">
            <w:pPr>
              <w:rPr>
                <w:lang w:val="en-CA"/>
              </w:rPr>
            </w:pPr>
          </w:p>
        </w:tc>
      </w:tr>
      <w:tr w:rsidR="008F364A" w14:paraId="21D25260" w14:textId="77777777" w:rsidTr="008D18FC">
        <w:tc>
          <w:tcPr>
            <w:tcW w:w="9360" w:type="dxa"/>
            <w:gridSpan w:val="6"/>
            <w:tcBorders>
              <w:top w:val="single" w:sz="8" w:space="0" w:color="auto"/>
            </w:tcBorders>
          </w:tcPr>
          <w:p w14:paraId="08222AD8" w14:textId="77777777" w:rsidR="008F364A" w:rsidRDefault="008F364A">
            <w:pPr>
              <w:rPr>
                <w:lang w:val="en-CA"/>
              </w:rPr>
            </w:pPr>
            <w:bookmarkStart w:id="8" w:name="Arret"/>
          </w:p>
        </w:tc>
      </w:tr>
      <w:tr w:rsidR="008F364A" w14:paraId="7BB9702D" w14:textId="77777777" w:rsidTr="008D18FC">
        <w:tc>
          <w:tcPr>
            <w:tcW w:w="9360" w:type="dxa"/>
            <w:gridSpan w:val="6"/>
          </w:tcPr>
          <w:p w14:paraId="1CAEDF4E" w14:textId="1AFED701" w:rsidR="008F364A" w:rsidRDefault="007F79C4">
            <w:pPr>
              <w:pStyle w:val="zSoquijlblTypeDocument"/>
            </w:pPr>
            <w:bookmarkStart w:id="9" w:name="TitreDocument"/>
            <w:r>
              <w:t>ARRÊT</w:t>
            </w:r>
            <w:bookmarkEnd w:id="9"/>
          </w:p>
        </w:tc>
      </w:tr>
      <w:tr w:rsidR="008F364A" w14:paraId="78DF8A97" w14:textId="77777777" w:rsidTr="008D18FC">
        <w:tc>
          <w:tcPr>
            <w:tcW w:w="9360" w:type="dxa"/>
            <w:gridSpan w:val="6"/>
            <w:tcBorders>
              <w:bottom w:val="single" w:sz="8" w:space="0" w:color="auto"/>
            </w:tcBorders>
          </w:tcPr>
          <w:p w14:paraId="14115B12" w14:textId="77777777" w:rsidR="008F364A" w:rsidRDefault="008F364A"/>
        </w:tc>
      </w:tr>
      <w:tr w:rsidR="008F364A" w14:paraId="27DE81AD" w14:textId="77777777" w:rsidTr="008D18FC">
        <w:tc>
          <w:tcPr>
            <w:tcW w:w="9360" w:type="dxa"/>
            <w:gridSpan w:val="6"/>
            <w:tcBorders>
              <w:top w:val="single" w:sz="8" w:space="0" w:color="auto"/>
            </w:tcBorders>
          </w:tcPr>
          <w:p w14:paraId="32D4C6E1" w14:textId="77777777" w:rsidR="008F364A" w:rsidRDefault="008F364A"/>
        </w:tc>
      </w:tr>
    </w:tbl>
    <w:p w14:paraId="4D07E41F" w14:textId="7FF192DB" w:rsidR="00731787" w:rsidRDefault="00F42EEE" w:rsidP="00683CF5">
      <w:pPr>
        <w:pStyle w:val="Paragraphe"/>
        <w:spacing w:before="240" w:line="240" w:lineRule="auto"/>
        <w:rPr>
          <w:rFonts w:cs="Arial"/>
          <w:szCs w:val="24"/>
        </w:rPr>
      </w:pPr>
      <w:r>
        <w:rPr>
          <w:rFonts w:cs="Arial"/>
          <w:szCs w:val="24"/>
        </w:rPr>
        <w:t>Il s’agit</w:t>
      </w:r>
      <w:r w:rsidR="00731787" w:rsidRPr="006101B0">
        <w:rPr>
          <w:rFonts w:cs="Arial"/>
          <w:szCs w:val="24"/>
        </w:rPr>
        <w:t xml:space="preserve"> d</w:t>
      </w:r>
      <w:r>
        <w:rPr>
          <w:rFonts w:cs="Arial"/>
          <w:szCs w:val="24"/>
        </w:rPr>
        <w:t>’</w:t>
      </w:r>
      <w:r w:rsidR="00731787" w:rsidRPr="006101B0">
        <w:rPr>
          <w:rFonts w:cs="Arial"/>
          <w:szCs w:val="24"/>
        </w:rPr>
        <w:t>un appel d</w:t>
      </w:r>
      <w:r w:rsidR="00731787">
        <w:rPr>
          <w:rFonts w:cs="Arial"/>
          <w:szCs w:val="24"/>
        </w:rPr>
        <w:t>’un</w:t>
      </w:r>
      <w:r w:rsidR="00731787" w:rsidRPr="006101B0">
        <w:rPr>
          <w:rFonts w:cs="Arial"/>
          <w:szCs w:val="24"/>
        </w:rPr>
        <w:t xml:space="preserve">e déclaration de la Cour du Québec selon laquelle les peines minimales obligatoires prévues pour la production, la distribution et la possession de pornographie juvénile sont inopérantes au regard de l’article 12 de la </w:t>
      </w:r>
      <w:r w:rsidR="00731787" w:rsidRPr="006101B0">
        <w:rPr>
          <w:rFonts w:cs="Arial"/>
          <w:i/>
          <w:iCs/>
          <w:szCs w:val="24"/>
        </w:rPr>
        <w:t>Charte</w:t>
      </w:r>
      <w:r w:rsidR="00731787" w:rsidRPr="006101B0">
        <w:rPr>
          <w:rFonts w:cs="Arial"/>
          <w:szCs w:val="24"/>
        </w:rPr>
        <w:t>, ainsi que d’un appel des peines d’emprisonnement discontinues infligées par la Cour du Québec à la suite de déclarations de culpabilité.</w:t>
      </w:r>
    </w:p>
    <w:p w14:paraId="42C7496F" w14:textId="77777777" w:rsidR="00731787" w:rsidRDefault="00731787" w:rsidP="00683CF5">
      <w:pPr>
        <w:pStyle w:val="Paragraphe"/>
        <w:spacing w:line="240" w:lineRule="auto"/>
      </w:pPr>
      <w:r w:rsidRPr="006101B0">
        <w:t xml:space="preserve">Pour les motifs du juge Healy, auxquels souscrivent les juges Morissette et Weitzman, </w:t>
      </w:r>
      <w:r w:rsidRPr="006101B0">
        <w:rPr>
          <w:b/>
          <w:bCs/>
        </w:rPr>
        <w:t>LA COUR</w:t>
      </w:r>
      <w:r w:rsidRPr="006101B0">
        <w:t> :</w:t>
      </w:r>
    </w:p>
    <w:p w14:paraId="7C4C1B41" w14:textId="77777777" w:rsidR="00825673" w:rsidRPr="00745CB7" w:rsidRDefault="00825673" w:rsidP="00825673">
      <w:pPr>
        <w:pStyle w:val="Paragraphe"/>
        <w:spacing w:line="240" w:lineRule="auto"/>
        <w:rPr>
          <w:rFonts w:cs="Arial"/>
          <w:szCs w:val="24"/>
        </w:rPr>
      </w:pPr>
      <w:r w:rsidRPr="00F55D99">
        <w:rPr>
          <w:rFonts w:cs="Arial"/>
          <w:b/>
          <w:bCs/>
          <w:szCs w:val="24"/>
        </w:rPr>
        <w:lastRenderedPageBreak/>
        <w:t>REJET</w:t>
      </w:r>
      <w:r>
        <w:rPr>
          <w:rFonts w:cs="Arial"/>
          <w:b/>
          <w:bCs/>
          <w:szCs w:val="24"/>
        </w:rPr>
        <w:t>TE</w:t>
      </w:r>
      <w:r w:rsidRPr="00F55D99">
        <w:rPr>
          <w:rFonts w:cs="Arial"/>
          <w:szCs w:val="24"/>
        </w:rPr>
        <w:t xml:space="preserve"> l</w:t>
      </w:r>
      <w:r>
        <w:rPr>
          <w:rFonts w:cs="Arial"/>
          <w:szCs w:val="24"/>
        </w:rPr>
        <w:t>’</w:t>
      </w:r>
      <w:r w:rsidRPr="00F55D99">
        <w:rPr>
          <w:rFonts w:cs="Arial"/>
          <w:szCs w:val="24"/>
        </w:rPr>
        <w:t>appel de la déclaration d</w:t>
      </w:r>
      <w:r>
        <w:rPr>
          <w:rFonts w:cs="Arial"/>
          <w:szCs w:val="24"/>
        </w:rPr>
        <w:t>’</w:t>
      </w:r>
      <w:r w:rsidRPr="00F55D99">
        <w:rPr>
          <w:rFonts w:cs="Arial"/>
          <w:szCs w:val="24"/>
        </w:rPr>
        <w:t>inopérabilité des peines minimales obligatoires pour production, distribution et possession de pornographie juvénile;</w:t>
      </w:r>
    </w:p>
    <w:p w14:paraId="0EBE9835" w14:textId="77777777" w:rsidR="00825673" w:rsidRPr="00745CB7" w:rsidRDefault="00825673" w:rsidP="00825673">
      <w:pPr>
        <w:pStyle w:val="Paragraphe"/>
        <w:spacing w:line="240" w:lineRule="auto"/>
        <w:rPr>
          <w:rFonts w:cs="Arial"/>
          <w:szCs w:val="24"/>
        </w:rPr>
      </w:pPr>
      <w:r w:rsidRPr="00377607">
        <w:rPr>
          <w:rFonts w:cs="Arial"/>
          <w:b/>
          <w:bCs/>
          <w:szCs w:val="24"/>
        </w:rPr>
        <w:t>DÉCLARE</w:t>
      </w:r>
      <w:r w:rsidRPr="00377607">
        <w:rPr>
          <w:rFonts w:cs="Arial"/>
          <w:szCs w:val="24"/>
        </w:rPr>
        <w:t xml:space="preserve"> invalides les peines minimales obligatoires pour production et distribution de pornographie juvénile;</w:t>
      </w:r>
    </w:p>
    <w:p w14:paraId="40E1EC04" w14:textId="77777777" w:rsidR="00825673" w:rsidRPr="00745CB7" w:rsidRDefault="00825673" w:rsidP="00825673">
      <w:pPr>
        <w:pStyle w:val="Paragraphe"/>
        <w:spacing w:line="240" w:lineRule="auto"/>
        <w:rPr>
          <w:rFonts w:cs="Arial"/>
          <w:szCs w:val="24"/>
        </w:rPr>
      </w:pPr>
      <w:r w:rsidRPr="00377607">
        <w:rPr>
          <w:rFonts w:cs="Arial"/>
          <w:b/>
          <w:bCs/>
          <w:szCs w:val="24"/>
        </w:rPr>
        <w:t>ACCUEILL</w:t>
      </w:r>
      <w:r>
        <w:rPr>
          <w:rFonts w:cs="Arial"/>
          <w:b/>
          <w:bCs/>
          <w:szCs w:val="24"/>
        </w:rPr>
        <w:t>E</w:t>
      </w:r>
      <w:r w:rsidRPr="00377607">
        <w:rPr>
          <w:rFonts w:cs="Arial"/>
          <w:szCs w:val="24"/>
        </w:rPr>
        <w:t xml:space="preserve"> l</w:t>
      </w:r>
      <w:r>
        <w:rPr>
          <w:rFonts w:cs="Arial"/>
          <w:szCs w:val="24"/>
        </w:rPr>
        <w:t>’</w:t>
      </w:r>
      <w:r w:rsidRPr="00377607">
        <w:rPr>
          <w:rFonts w:cs="Arial"/>
          <w:szCs w:val="24"/>
        </w:rPr>
        <w:t xml:space="preserve">appel des peines discontinues concurrentes de </w:t>
      </w:r>
      <w:r>
        <w:rPr>
          <w:rFonts w:cs="Arial"/>
          <w:szCs w:val="24"/>
        </w:rPr>
        <w:t>trois mois</w:t>
      </w:r>
      <w:r w:rsidRPr="00377607">
        <w:rPr>
          <w:rFonts w:cs="Arial"/>
          <w:szCs w:val="24"/>
        </w:rPr>
        <w:t xml:space="preserve"> prononcées par la Cour du Québec; </w:t>
      </w:r>
    </w:p>
    <w:p w14:paraId="36282939" w14:textId="0B8EB84D" w:rsidR="00825673" w:rsidRPr="00745CB7" w:rsidRDefault="00825673" w:rsidP="00825673">
      <w:pPr>
        <w:pStyle w:val="Paragraphe"/>
        <w:spacing w:line="240" w:lineRule="auto"/>
        <w:rPr>
          <w:rFonts w:cs="Arial"/>
          <w:szCs w:val="24"/>
        </w:rPr>
      </w:pPr>
      <w:r w:rsidRPr="00377607">
        <w:rPr>
          <w:rFonts w:cs="Arial"/>
          <w:b/>
          <w:bCs/>
          <w:szCs w:val="24"/>
        </w:rPr>
        <w:t>ANNULE</w:t>
      </w:r>
      <w:r w:rsidRPr="00377607">
        <w:rPr>
          <w:rFonts w:cs="Arial"/>
          <w:szCs w:val="24"/>
        </w:rPr>
        <w:t xml:space="preserve"> les peines discontinues concurrentes de </w:t>
      </w:r>
      <w:r>
        <w:rPr>
          <w:rFonts w:cs="Arial"/>
          <w:szCs w:val="24"/>
        </w:rPr>
        <w:t>trois mois</w:t>
      </w:r>
      <w:r w:rsidRPr="00377607">
        <w:rPr>
          <w:rFonts w:cs="Arial"/>
          <w:szCs w:val="24"/>
        </w:rPr>
        <w:t xml:space="preserve"> prononcées par la Cour du Québec;</w:t>
      </w:r>
    </w:p>
    <w:p w14:paraId="3DC24C65" w14:textId="77777777" w:rsidR="00825673" w:rsidRDefault="00825673" w:rsidP="00825673">
      <w:pPr>
        <w:pStyle w:val="Paragraphe"/>
        <w:spacing w:line="240" w:lineRule="auto"/>
        <w:rPr>
          <w:rFonts w:cs="Arial"/>
          <w:szCs w:val="24"/>
        </w:rPr>
      </w:pPr>
      <w:r>
        <w:rPr>
          <w:rFonts w:cs="Arial"/>
          <w:b/>
          <w:bCs/>
          <w:szCs w:val="24"/>
        </w:rPr>
        <w:t xml:space="preserve">Y </w:t>
      </w:r>
      <w:r w:rsidRPr="00377607">
        <w:rPr>
          <w:rFonts w:cs="Arial"/>
          <w:b/>
          <w:bCs/>
          <w:szCs w:val="24"/>
        </w:rPr>
        <w:t>SUBSTITUE</w:t>
      </w:r>
      <w:r w:rsidRPr="00377607">
        <w:rPr>
          <w:rFonts w:cs="Arial"/>
          <w:szCs w:val="24"/>
        </w:rPr>
        <w:t xml:space="preserve"> des peines concurrentes d</w:t>
      </w:r>
      <w:r>
        <w:rPr>
          <w:rFonts w:cs="Arial"/>
          <w:szCs w:val="24"/>
        </w:rPr>
        <w:t>’</w:t>
      </w:r>
      <w:r w:rsidRPr="00377607">
        <w:rPr>
          <w:rFonts w:cs="Arial"/>
          <w:szCs w:val="24"/>
        </w:rPr>
        <w:t xml:space="preserve">emprisonnement avec sursis de </w:t>
      </w:r>
      <w:r>
        <w:rPr>
          <w:rFonts w:cs="Arial"/>
          <w:szCs w:val="24"/>
        </w:rPr>
        <w:t xml:space="preserve">douze </w:t>
      </w:r>
      <w:r w:rsidRPr="00377607">
        <w:rPr>
          <w:rFonts w:cs="Arial"/>
          <w:szCs w:val="24"/>
        </w:rPr>
        <w:t xml:space="preserve">mois sur les chefs de production et de distribution de pornographie juvénile et de neuf mois sur le chef de possession de pornographie juvénile, lesquelles tiennent compte du temps déjà purgé en exécution des peines ordonnées par la Cour du Québec, assorties des conditions suivantes : </w:t>
      </w:r>
    </w:p>
    <w:p w14:paraId="61F98C9D" w14:textId="77777777" w:rsidR="00825673" w:rsidRPr="00745CB7" w:rsidRDefault="00825673" w:rsidP="00825673">
      <w:pPr>
        <w:pStyle w:val="Paragraphe"/>
        <w:numPr>
          <w:ilvl w:val="0"/>
          <w:numId w:val="28"/>
        </w:numPr>
        <w:spacing w:line="240" w:lineRule="auto"/>
        <w:ind w:left="1094" w:hanging="357"/>
        <w:rPr>
          <w:rFonts w:cs="Arial"/>
          <w:szCs w:val="24"/>
        </w:rPr>
      </w:pPr>
      <w:r w:rsidRPr="00377607">
        <w:rPr>
          <w:rFonts w:cs="Arial"/>
          <w:b/>
          <w:bCs/>
          <w:szCs w:val="24"/>
        </w:rPr>
        <w:t>ÊTRE</w:t>
      </w:r>
      <w:r w:rsidRPr="00377607">
        <w:rPr>
          <w:rFonts w:cs="Arial"/>
          <w:szCs w:val="24"/>
        </w:rPr>
        <w:t xml:space="preserve"> présente à sa résidence ou à celle de ses enfants en tout temps au cours des neuf premiers mois, sous réserve des exceptions suivantes qui incluent un temps de transport raisonnable; </w:t>
      </w:r>
    </w:p>
    <w:p w14:paraId="3D945FA4" w14:textId="77777777" w:rsidR="00825673" w:rsidRDefault="00825673" w:rsidP="00825673">
      <w:pPr>
        <w:pStyle w:val="Paragraphe"/>
        <w:numPr>
          <w:ilvl w:val="0"/>
          <w:numId w:val="28"/>
        </w:numPr>
        <w:spacing w:line="240" w:lineRule="auto"/>
        <w:ind w:left="1094" w:hanging="357"/>
        <w:rPr>
          <w:rFonts w:cs="Arial"/>
          <w:szCs w:val="24"/>
        </w:rPr>
      </w:pPr>
      <w:r w:rsidRPr="00377607">
        <w:rPr>
          <w:rFonts w:cs="Arial"/>
          <w:b/>
          <w:bCs/>
          <w:szCs w:val="24"/>
        </w:rPr>
        <w:t>ÊTRE</w:t>
      </w:r>
      <w:r w:rsidRPr="00377607">
        <w:rPr>
          <w:rFonts w:cs="Arial"/>
          <w:szCs w:val="24"/>
        </w:rPr>
        <w:t xml:space="preserve"> présente à sa résidence ou à celle de ses enfants en tout temps entre 20 h et 6 h au cours des trois mois restants</w:t>
      </w:r>
      <w:r>
        <w:rPr>
          <w:rFonts w:cs="Arial"/>
          <w:szCs w:val="24"/>
        </w:rPr>
        <w:t>;</w:t>
      </w:r>
    </w:p>
    <w:p w14:paraId="0025F30B" w14:textId="77777777" w:rsidR="00825673" w:rsidRPr="00745CB7" w:rsidRDefault="00825673" w:rsidP="00825673">
      <w:pPr>
        <w:pStyle w:val="Paragraphe"/>
        <w:numPr>
          <w:ilvl w:val="0"/>
          <w:numId w:val="28"/>
        </w:numPr>
        <w:spacing w:line="240" w:lineRule="auto"/>
        <w:ind w:left="1094" w:hanging="357"/>
        <w:rPr>
          <w:rFonts w:cs="Arial"/>
          <w:szCs w:val="24"/>
        </w:rPr>
      </w:pPr>
      <w:r w:rsidRPr="00475D93">
        <w:rPr>
          <w:rFonts w:cs="Arial"/>
          <w:b/>
          <w:bCs/>
          <w:szCs w:val="24"/>
        </w:rPr>
        <w:t>SAUF</w:t>
      </w:r>
      <w:r>
        <w:rPr>
          <w:rFonts w:cs="Arial"/>
          <w:szCs w:val="24"/>
        </w:rPr>
        <w:t xml:space="preserve"> dans la mesure autorisée par un agent de probation;</w:t>
      </w:r>
    </w:p>
    <w:p w14:paraId="4AE9A604" w14:textId="77777777" w:rsidR="00825673" w:rsidRPr="00745CB7" w:rsidRDefault="00825673" w:rsidP="00825673">
      <w:pPr>
        <w:pStyle w:val="Paragraphe"/>
        <w:numPr>
          <w:ilvl w:val="0"/>
          <w:numId w:val="28"/>
        </w:numPr>
        <w:spacing w:line="240" w:lineRule="auto"/>
        <w:ind w:left="1094" w:hanging="357"/>
        <w:rPr>
          <w:rFonts w:cs="Arial"/>
          <w:szCs w:val="24"/>
        </w:rPr>
      </w:pPr>
      <w:r w:rsidRPr="00377607">
        <w:rPr>
          <w:rFonts w:cs="Arial"/>
          <w:b/>
          <w:bCs/>
          <w:szCs w:val="24"/>
        </w:rPr>
        <w:t>CONSERVER</w:t>
      </w:r>
      <w:r w:rsidRPr="00377607">
        <w:rPr>
          <w:rFonts w:cs="Arial"/>
          <w:szCs w:val="24"/>
        </w:rPr>
        <w:t xml:space="preserve"> en tout temps sur sa personne, lorsqu</w:t>
      </w:r>
      <w:r>
        <w:rPr>
          <w:rFonts w:cs="Arial"/>
          <w:szCs w:val="24"/>
        </w:rPr>
        <w:t>’</w:t>
      </w:r>
      <w:r w:rsidRPr="00377607">
        <w:rPr>
          <w:rFonts w:cs="Arial"/>
          <w:szCs w:val="24"/>
        </w:rPr>
        <w:t>à l</w:t>
      </w:r>
      <w:r>
        <w:rPr>
          <w:rFonts w:cs="Arial"/>
          <w:szCs w:val="24"/>
        </w:rPr>
        <w:t>’</w:t>
      </w:r>
      <w:r w:rsidRPr="00377607">
        <w:rPr>
          <w:rFonts w:cs="Arial"/>
          <w:szCs w:val="24"/>
        </w:rPr>
        <w:t xml:space="preserve">extérieur de sa résidence, une copie des présentes conditions; </w:t>
      </w:r>
    </w:p>
    <w:p w14:paraId="0092CA10" w14:textId="77777777" w:rsidR="00825673" w:rsidRPr="00745CB7" w:rsidRDefault="00825673" w:rsidP="00825673">
      <w:pPr>
        <w:pStyle w:val="Paragraphe"/>
        <w:numPr>
          <w:ilvl w:val="0"/>
          <w:numId w:val="28"/>
        </w:numPr>
        <w:spacing w:line="240" w:lineRule="auto"/>
        <w:ind w:left="1094" w:hanging="357"/>
        <w:rPr>
          <w:rFonts w:cs="Arial"/>
          <w:szCs w:val="24"/>
        </w:rPr>
      </w:pPr>
      <w:r w:rsidRPr="00377607">
        <w:rPr>
          <w:rFonts w:cs="Arial"/>
          <w:b/>
          <w:bCs/>
          <w:szCs w:val="24"/>
        </w:rPr>
        <w:t>SE CONFORMER</w:t>
      </w:r>
      <w:r w:rsidRPr="00377607">
        <w:rPr>
          <w:rFonts w:cs="Arial"/>
          <w:szCs w:val="24"/>
        </w:rPr>
        <w:t xml:space="preserve"> à toute condition pouvant lui être imposée par un agent de probation; </w:t>
      </w:r>
    </w:p>
    <w:p w14:paraId="1A5E8B2D" w14:textId="77777777" w:rsidR="00825673" w:rsidRPr="00163563" w:rsidRDefault="00825673" w:rsidP="00825673">
      <w:pPr>
        <w:pStyle w:val="Paragraphe"/>
        <w:numPr>
          <w:ilvl w:val="0"/>
          <w:numId w:val="28"/>
        </w:numPr>
        <w:spacing w:line="240" w:lineRule="auto"/>
        <w:ind w:left="1094" w:hanging="357"/>
        <w:rPr>
          <w:rFonts w:cs="Arial"/>
          <w:szCs w:val="24"/>
        </w:rPr>
      </w:pPr>
      <w:r w:rsidRPr="00163563">
        <w:rPr>
          <w:rFonts w:cs="Arial"/>
          <w:b/>
          <w:bCs/>
          <w:szCs w:val="24"/>
        </w:rPr>
        <w:t>SE PRÉSENTER</w:t>
      </w:r>
      <w:r w:rsidRPr="00163563">
        <w:rPr>
          <w:rFonts w:cs="Arial"/>
          <w:szCs w:val="24"/>
        </w:rPr>
        <w:t xml:space="preserve"> à un agent de probation dans les 72 heures de la date du présent arrêt.</w:t>
      </w:r>
    </w:p>
    <w:p w14:paraId="380DFC24" w14:textId="77777777" w:rsidR="00825673" w:rsidRDefault="00825673" w:rsidP="00825673">
      <w:pPr>
        <w:pStyle w:val="Paragraphe"/>
        <w:spacing w:after="240" w:line="240" w:lineRule="auto"/>
        <w:rPr>
          <w:rFonts w:cs="Arial"/>
          <w:szCs w:val="24"/>
        </w:rPr>
      </w:pPr>
      <w:r w:rsidRPr="00377607">
        <w:rPr>
          <w:rFonts w:cs="Arial"/>
          <w:b/>
          <w:bCs/>
          <w:szCs w:val="24"/>
        </w:rPr>
        <w:t>MAINT</w:t>
      </w:r>
      <w:r>
        <w:rPr>
          <w:rFonts w:cs="Arial"/>
          <w:b/>
          <w:bCs/>
          <w:szCs w:val="24"/>
        </w:rPr>
        <w:t>IENT</w:t>
      </w:r>
      <w:r w:rsidRPr="00377607">
        <w:rPr>
          <w:rFonts w:cs="Arial"/>
          <w:szCs w:val="24"/>
        </w:rPr>
        <w:t xml:space="preserve"> en vigueur les ordonnances de probation prononcées par la Cour du Québec</w:t>
      </w:r>
      <w:r>
        <w:rPr>
          <w:rFonts w:cs="Arial"/>
          <w:szCs w:val="24"/>
        </w:rPr>
        <w:t>.</w:t>
      </w:r>
    </w:p>
    <w:p w14:paraId="54B0EA2E" w14:textId="77777777" w:rsidR="00731787" w:rsidRDefault="00731787" w:rsidP="00DE01FB">
      <w:pPr>
        <w:pStyle w:val="Paragraphe"/>
        <w:spacing w:after="180" w:line="240" w:lineRule="auto"/>
        <w:rPr>
          <w:rFonts w:cs="Arial"/>
          <w:szCs w:val="24"/>
        </w:rPr>
      </w:pPr>
      <w:r w:rsidRPr="006101B0">
        <w:rPr>
          <w:rFonts w:cs="Arial"/>
          <w:szCs w:val="24"/>
        </w:rPr>
        <w:t xml:space="preserve">Pour les motifs du juge Healy, auxquels souscrit le juge Morissette, </w:t>
      </w:r>
      <w:r w:rsidRPr="006101B0">
        <w:rPr>
          <w:rFonts w:cs="Arial"/>
          <w:b/>
          <w:bCs/>
          <w:szCs w:val="24"/>
        </w:rPr>
        <w:t>LA COUR </w:t>
      </w:r>
      <w:r w:rsidRPr="006101B0">
        <w:rPr>
          <w:rFonts w:cs="Arial"/>
          <w:szCs w:val="24"/>
        </w:rPr>
        <w:t>:</w:t>
      </w:r>
    </w:p>
    <w:p w14:paraId="6F585B4C" w14:textId="77777777" w:rsidR="00825673" w:rsidRPr="00745CB7" w:rsidRDefault="00825673" w:rsidP="00825673">
      <w:pPr>
        <w:pStyle w:val="Paragraphe"/>
        <w:spacing w:line="240" w:lineRule="auto"/>
        <w:rPr>
          <w:rFonts w:cs="Arial"/>
          <w:szCs w:val="24"/>
        </w:rPr>
      </w:pPr>
      <w:r w:rsidRPr="00F55D99">
        <w:rPr>
          <w:rFonts w:cs="Arial"/>
          <w:b/>
          <w:bCs/>
          <w:szCs w:val="24"/>
        </w:rPr>
        <w:t>ACCUEILL</w:t>
      </w:r>
      <w:r>
        <w:rPr>
          <w:rFonts w:cs="Arial"/>
          <w:b/>
          <w:bCs/>
          <w:szCs w:val="24"/>
        </w:rPr>
        <w:t xml:space="preserve">E </w:t>
      </w:r>
      <w:r>
        <w:rPr>
          <w:rFonts w:cs="Arial"/>
          <w:szCs w:val="24"/>
        </w:rPr>
        <w:t>l</w:t>
      </w:r>
      <w:r w:rsidRPr="00F55D99">
        <w:rPr>
          <w:rFonts w:cs="Arial"/>
          <w:szCs w:val="24"/>
        </w:rPr>
        <w:t>a requête en autorisation</w:t>
      </w:r>
      <w:r>
        <w:rPr>
          <w:rFonts w:cs="Arial"/>
          <w:szCs w:val="24"/>
        </w:rPr>
        <w:t xml:space="preserve"> d’appel</w:t>
      </w:r>
      <w:r w:rsidRPr="00F55D99">
        <w:rPr>
          <w:rFonts w:cs="Arial"/>
          <w:szCs w:val="24"/>
        </w:rPr>
        <w:t xml:space="preserve"> et </w:t>
      </w:r>
      <w:r w:rsidRPr="00F55D99">
        <w:rPr>
          <w:rFonts w:cs="Arial"/>
          <w:b/>
          <w:bCs/>
          <w:szCs w:val="24"/>
        </w:rPr>
        <w:t>AUTORISE</w:t>
      </w:r>
      <w:r w:rsidRPr="00F55D99">
        <w:rPr>
          <w:rFonts w:cs="Arial"/>
          <w:szCs w:val="24"/>
        </w:rPr>
        <w:t xml:space="preserve"> le PGQ en tant que partie pour présenter des observations sur la validité constitutionnelle des peines minimales obligatoires pour production et distribution de pornographie juvénile; </w:t>
      </w:r>
    </w:p>
    <w:p w14:paraId="1E219ED2" w14:textId="429AD3FB" w:rsidR="008F364A" w:rsidRPr="00683CF5" w:rsidRDefault="00731787" w:rsidP="00DE01FB">
      <w:pPr>
        <w:pStyle w:val="Paragraphe"/>
        <w:spacing w:after="240" w:line="240" w:lineRule="auto"/>
      </w:pPr>
      <w:r w:rsidRPr="006101B0">
        <w:rPr>
          <w:rFonts w:cs="Arial"/>
          <w:szCs w:val="24"/>
        </w:rPr>
        <w:lastRenderedPageBreak/>
        <w:t xml:space="preserve">Pour des motifs distincts, la juge Weitzman aurait </w:t>
      </w:r>
      <w:r w:rsidRPr="006101B0">
        <w:rPr>
          <w:rFonts w:cs="Arial"/>
          <w:b/>
          <w:bCs/>
          <w:szCs w:val="24"/>
        </w:rPr>
        <w:t xml:space="preserve">REJETÉ </w:t>
      </w:r>
      <w:r w:rsidRPr="006101B0">
        <w:rPr>
          <w:rFonts w:cs="Arial"/>
          <w:szCs w:val="24"/>
        </w:rPr>
        <w:t xml:space="preserve">la requête en autorisation d’appel du procureur général du Québec et </w:t>
      </w:r>
      <w:r w:rsidRPr="006101B0">
        <w:rPr>
          <w:rFonts w:cs="Arial"/>
          <w:b/>
          <w:bCs/>
          <w:szCs w:val="24"/>
        </w:rPr>
        <w:t>ACCORDÉ</w:t>
      </w:r>
      <w:r w:rsidRPr="006101B0">
        <w:rPr>
          <w:rFonts w:cs="Arial"/>
          <w:szCs w:val="24"/>
        </w:rPr>
        <w:t xml:space="preserve"> </w:t>
      </w:r>
      <w:r w:rsidR="00AE09B0" w:rsidRPr="006101B0">
        <w:rPr>
          <w:rFonts w:cs="Arial"/>
          <w:szCs w:val="24"/>
        </w:rPr>
        <w:t>l</w:t>
      </w:r>
      <w:r w:rsidR="00AE09B0">
        <w:rPr>
          <w:rFonts w:cs="Arial"/>
          <w:szCs w:val="24"/>
        </w:rPr>
        <w:t>’</w:t>
      </w:r>
      <w:r w:rsidR="00AE09B0" w:rsidRPr="006101B0">
        <w:rPr>
          <w:rFonts w:cs="Arial"/>
          <w:szCs w:val="24"/>
        </w:rPr>
        <w:t>autorisation</w:t>
      </w:r>
      <w:r w:rsidR="00AE09B0">
        <w:rPr>
          <w:rFonts w:cs="Arial"/>
          <w:szCs w:val="24"/>
        </w:rPr>
        <w:t xml:space="preserve"> d’intervenir</w:t>
      </w:r>
      <w:r w:rsidR="00AE09B0" w:rsidRPr="006101B0">
        <w:rPr>
          <w:rFonts w:cs="Arial"/>
          <w:szCs w:val="24"/>
        </w:rPr>
        <w:t xml:space="preserve"> </w:t>
      </w:r>
      <w:r w:rsidRPr="006101B0">
        <w:rPr>
          <w:rFonts w:cs="Arial"/>
          <w:szCs w:val="24"/>
        </w:rPr>
        <w:t>au procureur général du Québec</w:t>
      </w:r>
      <w:r>
        <w:rPr>
          <w:rFonts w:cs="Arial"/>
          <w:szCs w:val="24"/>
        </w:rPr>
        <w:t>.</w:t>
      </w:r>
    </w:p>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1997"/>
        <w:gridCol w:w="2685"/>
        <w:gridCol w:w="4680"/>
      </w:tblGrid>
      <w:tr w:rsidR="008F364A" w14:paraId="64861F2B" w14:textId="77777777" w:rsidTr="00DE01FB">
        <w:trPr>
          <w:trHeight w:val="287"/>
        </w:trPr>
        <w:tc>
          <w:tcPr>
            <w:tcW w:w="9362" w:type="dxa"/>
            <w:gridSpan w:val="3"/>
            <w:tcBorders>
              <w:top w:val="nil"/>
              <w:bottom w:val="nil"/>
            </w:tcBorders>
          </w:tcPr>
          <w:p w14:paraId="0AD69105" w14:textId="77777777" w:rsidR="00683CF5" w:rsidRDefault="00683CF5">
            <w:pPr>
              <w:keepNext/>
            </w:pPr>
          </w:p>
        </w:tc>
      </w:tr>
      <w:tr w:rsidR="008F364A" w14:paraId="065EC207" w14:textId="77777777" w:rsidTr="00117914">
        <w:trPr>
          <w:trHeight w:val="283"/>
        </w:trPr>
        <w:tc>
          <w:tcPr>
            <w:tcW w:w="4682" w:type="dxa"/>
            <w:gridSpan w:val="2"/>
            <w:tcBorders>
              <w:top w:val="nil"/>
              <w:bottom w:val="nil"/>
            </w:tcBorders>
          </w:tcPr>
          <w:p w14:paraId="086690DD" w14:textId="77777777" w:rsidR="008F364A" w:rsidRDefault="008F364A">
            <w:pPr>
              <w:keepNext/>
            </w:pPr>
          </w:p>
        </w:tc>
        <w:tc>
          <w:tcPr>
            <w:tcW w:w="4680" w:type="dxa"/>
            <w:tcBorders>
              <w:top w:val="nil"/>
              <w:bottom w:val="single" w:sz="8" w:space="0" w:color="auto"/>
            </w:tcBorders>
          </w:tcPr>
          <w:p w14:paraId="61D01266" w14:textId="77777777" w:rsidR="008F364A" w:rsidRDefault="008F364A">
            <w:pPr>
              <w:keepNext/>
            </w:pPr>
          </w:p>
        </w:tc>
      </w:tr>
      <w:tr w:rsidR="008F364A" w14:paraId="4BE8DD54" w14:textId="77777777" w:rsidTr="00117914">
        <w:trPr>
          <w:trHeight w:val="283"/>
        </w:trPr>
        <w:tc>
          <w:tcPr>
            <w:tcW w:w="4682" w:type="dxa"/>
            <w:gridSpan w:val="2"/>
            <w:tcBorders>
              <w:top w:val="nil"/>
            </w:tcBorders>
          </w:tcPr>
          <w:p w14:paraId="7C463A64" w14:textId="77777777" w:rsidR="008F364A" w:rsidRDefault="008F364A">
            <w:pPr>
              <w:keepNext/>
            </w:pPr>
          </w:p>
        </w:tc>
        <w:tc>
          <w:tcPr>
            <w:tcW w:w="4680" w:type="dxa"/>
            <w:tcBorders>
              <w:top w:val="single" w:sz="8" w:space="0" w:color="auto"/>
            </w:tcBorders>
          </w:tcPr>
          <w:p w14:paraId="2D3B02D8" w14:textId="0999E29E" w:rsidR="008F364A" w:rsidRDefault="00C2160B">
            <w:r>
              <w:t>YVES-MARIE MORISSETTE, J.C.A.</w:t>
            </w:r>
          </w:p>
        </w:tc>
      </w:tr>
      <w:tr w:rsidR="008F364A" w14:paraId="1EACF65F" w14:textId="77777777" w:rsidTr="00117914">
        <w:trPr>
          <w:trHeight w:val="283"/>
        </w:trPr>
        <w:tc>
          <w:tcPr>
            <w:tcW w:w="4682" w:type="dxa"/>
            <w:gridSpan w:val="2"/>
            <w:tcBorders>
              <w:top w:val="nil"/>
            </w:tcBorders>
          </w:tcPr>
          <w:p w14:paraId="3F7FB695" w14:textId="77777777" w:rsidR="008F364A" w:rsidRDefault="008F364A">
            <w:pPr>
              <w:keepNext/>
            </w:pPr>
            <w:bookmarkStart w:id="10" w:name="Signature2"/>
          </w:p>
        </w:tc>
        <w:tc>
          <w:tcPr>
            <w:tcW w:w="4680" w:type="dxa"/>
            <w:tcBorders>
              <w:top w:val="nil"/>
            </w:tcBorders>
          </w:tcPr>
          <w:p w14:paraId="218C4E85" w14:textId="77777777" w:rsidR="008F364A" w:rsidRDefault="008F364A">
            <w:pPr>
              <w:keepNext/>
            </w:pPr>
          </w:p>
        </w:tc>
      </w:tr>
      <w:tr w:rsidR="008F364A" w14:paraId="12CBB6DE" w14:textId="77777777" w:rsidTr="00117914">
        <w:trPr>
          <w:trHeight w:val="283"/>
        </w:trPr>
        <w:tc>
          <w:tcPr>
            <w:tcW w:w="4682" w:type="dxa"/>
            <w:gridSpan w:val="2"/>
            <w:tcBorders>
              <w:top w:val="nil"/>
              <w:bottom w:val="nil"/>
            </w:tcBorders>
          </w:tcPr>
          <w:p w14:paraId="6C745ADF" w14:textId="77777777" w:rsidR="008F364A" w:rsidRDefault="008F364A">
            <w:pPr>
              <w:keepNext/>
            </w:pPr>
          </w:p>
        </w:tc>
        <w:tc>
          <w:tcPr>
            <w:tcW w:w="4680" w:type="dxa"/>
            <w:tcBorders>
              <w:top w:val="nil"/>
              <w:bottom w:val="single" w:sz="8" w:space="0" w:color="auto"/>
            </w:tcBorders>
          </w:tcPr>
          <w:p w14:paraId="46CF1E56" w14:textId="77777777" w:rsidR="008F364A" w:rsidRDefault="008F364A">
            <w:pPr>
              <w:keepNext/>
            </w:pPr>
          </w:p>
        </w:tc>
      </w:tr>
      <w:tr w:rsidR="008F364A" w:rsidRPr="006B0837" w14:paraId="1891888B" w14:textId="77777777" w:rsidTr="00117914">
        <w:trPr>
          <w:trHeight w:val="283"/>
        </w:trPr>
        <w:tc>
          <w:tcPr>
            <w:tcW w:w="4682" w:type="dxa"/>
            <w:gridSpan w:val="2"/>
            <w:tcBorders>
              <w:top w:val="nil"/>
            </w:tcBorders>
          </w:tcPr>
          <w:p w14:paraId="2C330C29" w14:textId="77777777" w:rsidR="008F364A" w:rsidRDefault="008F364A">
            <w:pPr>
              <w:keepNext/>
            </w:pPr>
          </w:p>
        </w:tc>
        <w:tc>
          <w:tcPr>
            <w:tcW w:w="4680" w:type="dxa"/>
            <w:tcBorders>
              <w:top w:val="single" w:sz="8" w:space="0" w:color="auto"/>
            </w:tcBorders>
          </w:tcPr>
          <w:p w14:paraId="3D664C7F" w14:textId="246B115B" w:rsidR="008F364A" w:rsidRPr="007F79C4" w:rsidRDefault="00C2160B">
            <w:pPr>
              <w:keepNext/>
              <w:rPr>
                <w:lang w:val="en-CA"/>
              </w:rPr>
            </w:pPr>
            <w:r>
              <w:t>PATRICK HEALY, J.C.A.</w:t>
            </w:r>
          </w:p>
        </w:tc>
      </w:tr>
      <w:tr w:rsidR="008F364A" w:rsidRPr="006B0837" w14:paraId="59862E12" w14:textId="77777777" w:rsidTr="00117914">
        <w:trPr>
          <w:trHeight w:val="283"/>
        </w:trPr>
        <w:tc>
          <w:tcPr>
            <w:tcW w:w="4682" w:type="dxa"/>
            <w:gridSpan w:val="2"/>
            <w:tcBorders>
              <w:top w:val="nil"/>
            </w:tcBorders>
          </w:tcPr>
          <w:p w14:paraId="222FFF42" w14:textId="77777777" w:rsidR="008F364A" w:rsidRPr="007F79C4" w:rsidRDefault="008F364A">
            <w:pPr>
              <w:keepNext/>
              <w:rPr>
                <w:lang w:val="en-CA"/>
              </w:rPr>
            </w:pPr>
            <w:bookmarkStart w:id="11" w:name="Signature3"/>
            <w:bookmarkEnd w:id="10"/>
          </w:p>
        </w:tc>
        <w:tc>
          <w:tcPr>
            <w:tcW w:w="4680" w:type="dxa"/>
            <w:tcBorders>
              <w:top w:val="nil"/>
            </w:tcBorders>
          </w:tcPr>
          <w:p w14:paraId="26605AC0" w14:textId="77777777" w:rsidR="008F364A" w:rsidRPr="007F79C4" w:rsidRDefault="008F364A">
            <w:pPr>
              <w:keepNext/>
              <w:rPr>
                <w:lang w:val="en-CA"/>
              </w:rPr>
            </w:pPr>
          </w:p>
        </w:tc>
      </w:tr>
      <w:tr w:rsidR="008F364A" w:rsidRPr="006B0837" w14:paraId="3DB34B70" w14:textId="77777777" w:rsidTr="00117914">
        <w:trPr>
          <w:trHeight w:val="283"/>
        </w:trPr>
        <w:tc>
          <w:tcPr>
            <w:tcW w:w="4682" w:type="dxa"/>
            <w:gridSpan w:val="2"/>
            <w:tcBorders>
              <w:top w:val="nil"/>
              <w:bottom w:val="nil"/>
            </w:tcBorders>
          </w:tcPr>
          <w:p w14:paraId="0BA25CD5" w14:textId="77777777" w:rsidR="008F364A" w:rsidRPr="007F79C4" w:rsidRDefault="008F364A">
            <w:pPr>
              <w:keepNext/>
              <w:rPr>
                <w:lang w:val="en-CA"/>
              </w:rPr>
            </w:pPr>
          </w:p>
        </w:tc>
        <w:tc>
          <w:tcPr>
            <w:tcW w:w="4680" w:type="dxa"/>
            <w:tcBorders>
              <w:top w:val="nil"/>
              <w:bottom w:val="single" w:sz="8" w:space="0" w:color="auto"/>
            </w:tcBorders>
          </w:tcPr>
          <w:p w14:paraId="6ED00741" w14:textId="77777777" w:rsidR="008F364A" w:rsidRPr="007F79C4" w:rsidRDefault="008F364A">
            <w:pPr>
              <w:keepNext/>
              <w:rPr>
                <w:lang w:val="en-CA"/>
              </w:rPr>
            </w:pPr>
          </w:p>
        </w:tc>
      </w:tr>
      <w:tr w:rsidR="008F364A" w14:paraId="3BCFBA90" w14:textId="77777777" w:rsidTr="00117914">
        <w:trPr>
          <w:trHeight w:val="283"/>
        </w:trPr>
        <w:tc>
          <w:tcPr>
            <w:tcW w:w="4682" w:type="dxa"/>
            <w:gridSpan w:val="2"/>
            <w:tcBorders>
              <w:top w:val="nil"/>
            </w:tcBorders>
          </w:tcPr>
          <w:p w14:paraId="2261E739" w14:textId="77777777" w:rsidR="008F364A" w:rsidRPr="007F79C4" w:rsidRDefault="008F364A">
            <w:pPr>
              <w:keepNext/>
              <w:rPr>
                <w:lang w:val="en-CA"/>
              </w:rPr>
            </w:pPr>
          </w:p>
        </w:tc>
        <w:tc>
          <w:tcPr>
            <w:tcW w:w="4680" w:type="dxa"/>
            <w:tcBorders>
              <w:top w:val="single" w:sz="8" w:space="0" w:color="auto"/>
            </w:tcBorders>
          </w:tcPr>
          <w:p w14:paraId="20F03FE3" w14:textId="310DD9AE" w:rsidR="008F364A" w:rsidRDefault="00C2160B">
            <w:pPr>
              <w:keepNext/>
            </w:pPr>
            <w:r>
              <w:t>LORI RENÉE WEITZMAN, J.C.A.</w:t>
            </w:r>
          </w:p>
        </w:tc>
      </w:tr>
      <w:bookmarkEnd w:id="11"/>
      <w:tr w:rsidR="005A78BF" w14:paraId="426E15EB" w14:textId="77777777" w:rsidTr="00683CF5">
        <w:tc>
          <w:tcPr>
            <w:tcW w:w="9362" w:type="dxa"/>
            <w:gridSpan w:val="3"/>
            <w:tcBorders>
              <w:bottom w:val="nil"/>
            </w:tcBorders>
          </w:tcPr>
          <w:p w14:paraId="1FEC2C59" w14:textId="77777777" w:rsidR="005A78BF" w:rsidRPr="007F79C4" w:rsidRDefault="005A78BF" w:rsidP="005A78BF"/>
        </w:tc>
      </w:tr>
      <w:tr w:rsidR="005C67B6" w14:paraId="1CE07E64" w14:textId="77777777" w:rsidTr="00683CF5">
        <w:tc>
          <w:tcPr>
            <w:tcW w:w="9362" w:type="dxa"/>
            <w:gridSpan w:val="3"/>
            <w:tcBorders>
              <w:bottom w:val="nil"/>
            </w:tcBorders>
          </w:tcPr>
          <w:p w14:paraId="67540213" w14:textId="77777777" w:rsidR="005C67B6" w:rsidRPr="007F79C4" w:rsidRDefault="005C67B6" w:rsidP="005A78BF"/>
        </w:tc>
      </w:tr>
      <w:tr w:rsidR="00DE01FB" w14:paraId="34E96D58" w14:textId="77777777" w:rsidTr="00683CF5">
        <w:tc>
          <w:tcPr>
            <w:tcW w:w="9362" w:type="dxa"/>
            <w:gridSpan w:val="3"/>
            <w:tcBorders>
              <w:bottom w:val="nil"/>
            </w:tcBorders>
          </w:tcPr>
          <w:p w14:paraId="4640898B" w14:textId="77777777" w:rsidR="00DE01FB" w:rsidRPr="007F79C4" w:rsidRDefault="00DE01FB" w:rsidP="005A78BF"/>
        </w:tc>
      </w:tr>
      <w:tr w:rsidR="00DE01FB" w14:paraId="3AB9678A" w14:textId="77777777" w:rsidTr="00683CF5">
        <w:tc>
          <w:tcPr>
            <w:tcW w:w="9362" w:type="dxa"/>
            <w:gridSpan w:val="3"/>
            <w:tcBorders>
              <w:bottom w:val="nil"/>
            </w:tcBorders>
          </w:tcPr>
          <w:p w14:paraId="6EC29ACC" w14:textId="77777777" w:rsidR="00DE01FB" w:rsidRPr="007F79C4" w:rsidRDefault="00DE01FB" w:rsidP="005A78BF"/>
        </w:tc>
      </w:tr>
      <w:tr w:rsidR="005C67B6" w14:paraId="2FACBAAB" w14:textId="77777777" w:rsidTr="00683CF5">
        <w:tc>
          <w:tcPr>
            <w:tcW w:w="9362" w:type="dxa"/>
            <w:gridSpan w:val="3"/>
            <w:tcBorders>
              <w:bottom w:val="nil"/>
            </w:tcBorders>
          </w:tcPr>
          <w:p w14:paraId="0078A709" w14:textId="77777777" w:rsidR="005C67B6" w:rsidRPr="007F79C4" w:rsidRDefault="005C67B6" w:rsidP="005A78BF"/>
        </w:tc>
      </w:tr>
      <w:tr w:rsidR="005A78BF" w14:paraId="3614DDE5" w14:textId="77777777" w:rsidTr="00683CF5">
        <w:tc>
          <w:tcPr>
            <w:tcW w:w="9362" w:type="dxa"/>
            <w:gridSpan w:val="3"/>
            <w:tcBorders>
              <w:top w:val="nil"/>
            </w:tcBorders>
          </w:tcPr>
          <w:p w14:paraId="144BAC12" w14:textId="281DE7A8" w:rsidR="005A78BF" w:rsidRDefault="007F79C4" w:rsidP="005A78BF">
            <w:pPr>
              <w:pStyle w:val="zSoquijdatNomProcureurDem"/>
              <w:rPr>
                <w:lang w:val="en-CA"/>
              </w:rPr>
            </w:pPr>
            <w:r>
              <w:t>Me Gabriel Bervin</w:t>
            </w:r>
          </w:p>
        </w:tc>
      </w:tr>
      <w:tr w:rsidR="007F79C4" w14:paraId="20876E06" w14:textId="77777777" w:rsidTr="00423DF1">
        <w:tc>
          <w:tcPr>
            <w:tcW w:w="9362" w:type="dxa"/>
            <w:gridSpan w:val="3"/>
          </w:tcPr>
          <w:p w14:paraId="23DAEB73" w14:textId="06FE8693" w:rsidR="007F79C4" w:rsidRDefault="007F79C4" w:rsidP="005A78BF">
            <w:pPr>
              <w:pStyle w:val="zSoquijdatNomProcureurDem"/>
            </w:pPr>
            <w:r>
              <w:t>Me Julie Nadeau</w:t>
            </w:r>
          </w:p>
        </w:tc>
      </w:tr>
      <w:tr w:rsidR="007F79C4" w14:paraId="51672280" w14:textId="77777777" w:rsidTr="00423DF1">
        <w:tc>
          <w:tcPr>
            <w:tcW w:w="9362" w:type="dxa"/>
            <w:gridSpan w:val="3"/>
          </w:tcPr>
          <w:p w14:paraId="05F98B71" w14:textId="5C4D276C" w:rsidR="007F79C4" w:rsidRDefault="007F79C4" w:rsidP="005A78BF">
            <w:pPr>
              <w:pStyle w:val="zSoquijdatNomProcureurDem"/>
            </w:pPr>
            <w:r>
              <w:t>Me Nicolas Abran</w:t>
            </w:r>
          </w:p>
        </w:tc>
      </w:tr>
      <w:tr w:rsidR="005A78BF" w14:paraId="3AF23607" w14:textId="77777777" w:rsidTr="00423DF1">
        <w:tc>
          <w:tcPr>
            <w:tcW w:w="9362" w:type="dxa"/>
            <w:gridSpan w:val="3"/>
          </w:tcPr>
          <w:p w14:paraId="59916C3D" w14:textId="72EBA326" w:rsidR="005A78BF" w:rsidRPr="007F79C4" w:rsidRDefault="007F79C4" w:rsidP="005A78BF">
            <w:pPr>
              <w:pStyle w:val="zSoquijdatCabinetProcureurDem"/>
              <w:rPr>
                <w:smallCaps/>
              </w:rPr>
            </w:pPr>
            <w:r>
              <w:rPr>
                <w:smallCaps/>
              </w:rPr>
              <w:t>directeur des poursuites criminelles et pénales</w:t>
            </w:r>
          </w:p>
        </w:tc>
      </w:tr>
      <w:tr w:rsidR="005A78BF" w14:paraId="64422AAB" w14:textId="77777777" w:rsidTr="00423DF1">
        <w:tc>
          <w:tcPr>
            <w:tcW w:w="9362" w:type="dxa"/>
            <w:gridSpan w:val="3"/>
          </w:tcPr>
          <w:p w14:paraId="790F8A86" w14:textId="0B941502" w:rsidR="005A78BF" w:rsidRPr="007F79C4" w:rsidRDefault="007F79C4" w:rsidP="005A78BF">
            <w:pPr>
              <w:pStyle w:val="zSoquijlblProcureurDem"/>
            </w:pPr>
            <w:r>
              <w:t>Pour Sa Majesté le Roi</w:t>
            </w:r>
          </w:p>
        </w:tc>
      </w:tr>
      <w:tr w:rsidR="005A78BF" w14:paraId="161F1225" w14:textId="77777777" w:rsidTr="00423DF1">
        <w:tc>
          <w:tcPr>
            <w:tcW w:w="9362" w:type="dxa"/>
            <w:gridSpan w:val="3"/>
          </w:tcPr>
          <w:p w14:paraId="596BC2DA" w14:textId="77777777" w:rsidR="005A78BF" w:rsidRPr="007F79C4" w:rsidRDefault="005A78BF" w:rsidP="007F79C4"/>
        </w:tc>
      </w:tr>
      <w:tr w:rsidR="005A78BF" w14:paraId="634EEA0F" w14:textId="77777777" w:rsidTr="00423DF1">
        <w:tc>
          <w:tcPr>
            <w:tcW w:w="9362" w:type="dxa"/>
            <w:gridSpan w:val="3"/>
          </w:tcPr>
          <w:p w14:paraId="4107CCF7" w14:textId="181261F8" w:rsidR="005A78BF" w:rsidRDefault="007F79C4" w:rsidP="007F79C4">
            <w:pPr>
              <w:pStyle w:val="zSoquijdatNomProcureurDem"/>
              <w:rPr>
                <w:lang w:val="en-CA"/>
              </w:rPr>
            </w:pPr>
            <w:r>
              <w:t>Me Michel Déom</w:t>
            </w:r>
          </w:p>
        </w:tc>
      </w:tr>
      <w:tr w:rsidR="007F79C4" w14:paraId="36253374" w14:textId="77777777" w:rsidTr="00423DF1">
        <w:tc>
          <w:tcPr>
            <w:tcW w:w="9362" w:type="dxa"/>
            <w:gridSpan w:val="3"/>
          </w:tcPr>
          <w:p w14:paraId="3C918842" w14:textId="54AF67AC" w:rsidR="007F79C4" w:rsidRDefault="007F79C4" w:rsidP="007F79C4">
            <w:pPr>
              <w:pStyle w:val="zSoquijdatNomProcureurDem"/>
            </w:pPr>
            <w:r>
              <w:t>Me Maxime Seyer-Cloutier</w:t>
            </w:r>
          </w:p>
        </w:tc>
      </w:tr>
      <w:tr w:rsidR="005A78BF" w14:paraId="0015AB25" w14:textId="77777777" w:rsidTr="00423DF1">
        <w:tc>
          <w:tcPr>
            <w:tcW w:w="9362" w:type="dxa"/>
            <w:gridSpan w:val="3"/>
          </w:tcPr>
          <w:p w14:paraId="6576227B" w14:textId="384616AF" w:rsidR="005A78BF" w:rsidRPr="007F79C4" w:rsidRDefault="007F79C4" w:rsidP="007F79C4">
            <w:pPr>
              <w:pStyle w:val="zSoquijdatCabinetProcureurDem"/>
              <w:rPr>
                <w:smallCaps/>
                <w:lang w:val="en-CA"/>
              </w:rPr>
            </w:pPr>
            <w:r w:rsidRPr="007F79C4">
              <w:rPr>
                <w:smallCaps/>
              </w:rPr>
              <w:t>bernard, roy (justice-québec)</w:t>
            </w:r>
          </w:p>
        </w:tc>
      </w:tr>
      <w:tr w:rsidR="005A78BF" w14:paraId="4969A783" w14:textId="77777777" w:rsidTr="00423DF1">
        <w:tc>
          <w:tcPr>
            <w:tcW w:w="9362" w:type="dxa"/>
            <w:gridSpan w:val="3"/>
          </w:tcPr>
          <w:p w14:paraId="5A53517A" w14:textId="22C4380A" w:rsidR="005A78BF" w:rsidRPr="007F79C4" w:rsidRDefault="007F79C4" w:rsidP="005A78BF">
            <w:pPr>
              <w:pStyle w:val="zSoquijlblProcureurDef"/>
            </w:pPr>
            <w:r>
              <w:t>Pour le procureur général du Québec</w:t>
            </w:r>
          </w:p>
        </w:tc>
      </w:tr>
      <w:tr w:rsidR="007F79C4" w14:paraId="20363F0B" w14:textId="77777777" w:rsidTr="00423DF1">
        <w:tc>
          <w:tcPr>
            <w:tcW w:w="9362" w:type="dxa"/>
            <w:gridSpan w:val="3"/>
          </w:tcPr>
          <w:p w14:paraId="21ED1B1F" w14:textId="77777777" w:rsidR="007F79C4" w:rsidRDefault="007F79C4" w:rsidP="007F79C4"/>
        </w:tc>
      </w:tr>
      <w:tr w:rsidR="007F79C4" w14:paraId="243FE488" w14:textId="77777777" w:rsidTr="00423DF1">
        <w:tc>
          <w:tcPr>
            <w:tcW w:w="9362" w:type="dxa"/>
            <w:gridSpan w:val="3"/>
          </w:tcPr>
          <w:p w14:paraId="37752602" w14:textId="022B8BFE" w:rsidR="007F79C4" w:rsidRDefault="007F79C4" w:rsidP="007F79C4">
            <w:pPr>
              <w:pStyle w:val="zSoquijdatNomProcureurDef"/>
            </w:pPr>
            <w:r>
              <w:t>Me Annie Francoeur</w:t>
            </w:r>
          </w:p>
        </w:tc>
      </w:tr>
      <w:tr w:rsidR="00636B8C" w14:paraId="429C05E8" w14:textId="77777777" w:rsidTr="00423DF1">
        <w:tc>
          <w:tcPr>
            <w:tcW w:w="9362" w:type="dxa"/>
            <w:gridSpan w:val="3"/>
          </w:tcPr>
          <w:p w14:paraId="532EB9D5" w14:textId="74845ADA" w:rsidR="00636B8C" w:rsidRPr="00636B8C" w:rsidRDefault="00636B8C" w:rsidP="00636B8C">
            <w:pPr>
              <w:pStyle w:val="zSoquijdatCabinetProcureurDem"/>
              <w:rPr>
                <w:smallCaps/>
              </w:rPr>
            </w:pPr>
            <w:r>
              <w:rPr>
                <w:smallCaps/>
              </w:rPr>
              <w:t>me annie francoeur</w:t>
            </w:r>
          </w:p>
        </w:tc>
      </w:tr>
      <w:tr w:rsidR="007F79C4" w14:paraId="38DC78B9" w14:textId="77777777" w:rsidTr="00423DF1">
        <w:tc>
          <w:tcPr>
            <w:tcW w:w="9362" w:type="dxa"/>
            <w:gridSpan w:val="3"/>
          </w:tcPr>
          <w:p w14:paraId="01A883FF" w14:textId="60037602" w:rsidR="007F79C4" w:rsidRDefault="0013300A" w:rsidP="005A78BF">
            <w:pPr>
              <w:pStyle w:val="zSoquijlblProcureurDef"/>
            </w:pPr>
            <w:r>
              <w:t>Me Christine Santerre</w:t>
            </w:r>
          </w:p>
        </w:tc>
      </w:tr>
      <w:tr w:rsidR="0013300A" w14:paraId="5F0DE8C2" w14:textId="77777777" w:rsidTr="00423DF1">
        <w:tc>
          <w:tcPr>
            <w:tcW w:w="9362" w:type="dxa"/>
            <w:gridSpan w:val="3"/>
          </w:tcPr>
          <w:p w14:paraId="5FF542BB" w14:textId="6D428690" w:rsidR="0013300A" w:rsidRPr="0013300A" w:rsidRDefault="0013300A" w:rsidP="0013300A">
            <w:pPr>
              <w:pStyle w:val="zSoquijdatNomProcureurDef"/>
              <w:rPr>
                <w:smallCaps/>
              </w:rPr>
            </w:pPr>
            <w:r>
              <w:rPr>
                <w:smallCaps/>
              </w:rPr>
              <w:t>christine santerre avocate</w:t>
            </w:r>
          </w:p>
        </w:tc>
      </w:tr>
      <w:tr w:rsidR="0013300A" w14:paraId="664CAF60" w14:textId="77777777" w:rsidTr="00423DF1">
        <w:tc>
          <w:tcPr>
            <w:tcW w:w="9362" w:type="dxa"/>
            <w:gridSpan w:val="3"/>
          </w:tcPr>
          <w:p w14:paraId="76A9AC87" w14:textId="5FCDB50C" w:rsidR="0013300A" w:rsidRDefault="0013300A" w:rsidP="0013300A">
            <w:pPr>
              <w:pStyle w:val="zSoquijlblProcureurDef"/>
            </w:pPr>
            <w:r>
              <w:t xml:space="preserve">Pour </w:t>
            </w:r>
            <w:r w:rsidR="00FD7A90">
              <w:t>Isabelle Gagnon</w:t>
            </w:r>
          </w:p>
        </w:tc>
      </w:tr>
      <w:tr w:rsidR="005A78BF" w14:paraId="066DCFFF" w14:textId="77777777" w:rsidTr="00423DF1">
        <w:tc>
          <w:tcPr>
            <w:tcW w:w="9362" w:type="dxa"/>
            <w:gridSpan w:val="3"/>
          </w:tcPr>
          <w:p w14:paraId="754C2D2B" w14:textId="77777777" w:rsidR="005A78BF" w:rsidRPr="007F79C4" w:rsidRDefault="005A78BF" w:rsidP="005A78BF"/>
        </w:tc>
      </w:tr>
      <w:tr w:rsidR="005A78BF" w14:paraId="3041A7B7" w14:textId="77777777" w:rsidTr="00423DF1">
        <w:tc>
          <w:tcPr>
            <w:tcW w:w="1997" w:type="dxa"/>
          </w:tcPr>
          <w:p w14:paraId="3DD12967" w14:textId="77777777" w:rsidR="005A78BF" w:rsidRDefault="005A78BF" w:rsidP="005A78BF">
            <w:pPr>
              <w:pStyle w:val="zSoquijlblDateAudience"/>
            </w:pPr>
            <w:r>
              <w:t>Date d’audience :</w:t>
            </w:r>
          </w:p>
        </w:tc>
        <w:tc>
          <w:tcPr>
            <w:tcW w:w="7365" w:type="dxa"/>
            <w:gridSpan w:val="2"/>
          </w:tcPr>
          <w:p w14:paraId="1C2E1E00" w14:textId="035F7AB2" w:rsidR="005A78BF" w:rsidRDefault="0013300A" w:rsidP="005A78BF">
            <w:pPr>
              <w:pStyle w:val="zSoquijdatDateAudience"/>
            </w:pPr>
            <w:r>
              <w:t>28 mai 2025</w:t>
            </w:r>
          </w:p>
        </w:tc>
      </w:tr>
    </w:tbl>
    <w:p w14:paraId="3B92A909" w14:textId="77777777" w:rsidR="005C67B6" w:rsidRPr="00377607" w:rsidRDefault="005C67B6" w:rsidP="005C67B6">
      <w:pPr>
        <w:spacing w:line="240" w:lineRule="auto"/>
        <w:rPr>
          <w:rFonts w:cs="Arial"/>
          <w:szCs w:val="24"/>
        </w:rPr>
        <w:sectPr w:rsidR="005C67B6" w:rsidRPr="00377607" w:rsidSect="00DE01FB">
          <w:headerReference w:type="default" r:id="rId8"/>
          <w:footnotePr>
            <w:numRestart w:val="eachSect"/>
          </w:footnotePr>
          <w:pgSz w:w="12242" w:h="15842" w:code="1"/>
          <w:pgMar w:top="1418" w:right="1008" w:bottom="1440" w:left="1872" w:header="1440" w:footer="792" w:gutter="0"/>
          <w:cols w:space="720"/>
          <w:formProt w:val="0"/>
          <w:titlePg/>
          <w:docGrid w:linePitch="326"/>
        </w:sectPr>
      </w:pPr>
      <w:bookmarkStart w:id="12" w:name="Opinion"/>
      <w:bookmarkEnd w:id="8"/>
    </w:p>
    <w:tbl>
      <w:tblPr>
        <w:tblW w:w="0" w:type="auto"/>
        <w:tblLayout w:type="fixed"/>
        <w:tblCellMar>
          <w:left w:w="0" w:type="dxa"/>
          <w:right w:w="0" w:type="dxa"/>
        </w:tblCellMar>
        <w:tblLook w:val="0000" w:firstRow="0" w:lastRow="0" w:firstColumn="0" w:lastColumn="0" w:noHBand="0" w:noVBand="0"/>
      </w:tblPr>
      <w:tblGrid>
        <w:gridCol w:w="9360"/>
      </w:tblGrid>
      <w:tr w:rsidR="005C67B6" w14:paraId="2BCEBD57" w14:textId="77777777" w:rsidTr="001378A8">
        <w:tc>
          <w:tcPr>
            <w:tcW w:w="9360" w:type="dxa"/>
            <w:tcBorders>
              <w:bottom w:val="single" w:sz="8" w:space="0" w:color="auto"/>
            </w:tcBorders>
          </w:tcPr>
          <w:p w14:paraId="046B84B5" w14:textId="77777777" w:rsidR="005C67B6" w:rsidRPr="00377607" w:rsidRDefault="005C67B6" w:rsidP="001378A8">
            <w:pPr>
              <w:spacing w:line="240" w:lineRule="auto"/>
              <w:rPr>
                <w:rFonts w:cs="Arial"/>
                <w:szCs w:val="24"/>
              </w:rPr>
            </w:pPr>
          </w:p>
        </w:tc>
      </w:tr>
      <w:tr w:rsidR="005C67B6" w14:paraId="53FBEFA1" w14:textId="77777777" w:rsidTr="001378A8">
        <w:tc>
          <w:tcPr>
            <w:tcW w:w="9360" w:type="dxa"/>
            <w:tcBorders>
              <w:top w:val="single" w:sz="8" w:space="0" w:color="auto"/>
            </w:tcBorders>
          </w:tcPr>
          <w:p w14:paraId="3542852D" w14:textId="77777777" w:rsidR="005C67B6" w:rsidRPr="00377607" w:rsidRDefault="005C67B6" w:rsidP="001378A8">
            <w:pPr>
              <w:spacing w:line="240" w:lineRule="auto"/>
              <w:rPr>
                <w:rFonts w:cs="Arial"/>
                <w:szCs w:val="24"/>
              </w:rPr>
            </w:pPr>
          </w:p>
        </w:tc>
      </w:tr>
      <w:tr w:rsidR="005C67B6" w14:paraId="383EA629" w14:textId="77777777" w:rsidTr="001378A8">
        <w:tc>
          <w:tcPr>
            <w:tcW w:w="9360" w:type="dxa"/>
          </w:tcPr>
          <w:p w14:paraId="0324DCFE" w14:textId="0DFB5660" w:rsidR="005C67B6" w:rsidRPr="00377607" w:rsidRDefault="00C2160B" w:rsidP="001378A8">
            <w:pPr>
              <w:pStyle w:val="zSoquijlblOpinionJuge"/>
              <w:spacing w:line="240" w:lineRule="auto"/>
              <w:rPr>
                <w:rFonts w:cs="Arial"/>
                <w:szCs w:val="24"/>
              </w:rPr>
            </w:pPr>
            <w:r>
              <w:rPr>
                <w:rFonts w:cs="Arial"/>
                <w:szCs w:val="24"/>
              </w:rPr>
              <w:t>MOTIFS DU JUGE</w:t>
            </w:r>
            <w:r w:rsidR="005C67B6" w:rsidRPr="00377607">
              <w:rPr>
                <w:rFonts w:cs="Arial"/>
                <w:szCs w:val="24"/>
              </w:rPr>
              <w:t xml:space="preserve"> </w:t>
            </w:r>
            <w:r>
              <w:rPr>
                <w:rFonts w:cs="Arial"/>
                <w:szCs w:val="24"/>
              </w:rPr>
              <w:t>HEALY</w:t>
            </w:r>
          </w:p>
        </w:tc>
      </w:tr>
      <w:tr w:rsidR="005C67B6" w14:paraId="03D86FA0" w14:textId="77777777" w:rsidTr="001378A8">
        <w:tc>
          <w:tcPr>
            <w:tcW w:w="9360" w:type="dxa"/>
            <w:tcBorders>
              <w:bottom w:val="single" w:sz="8" w:space="0" w:color="auto"/>
            </w:tcBorders>
          </w:tcPr>
          <w:p w14:paraId="56793AFA" w14:textId="77777777" w:rsidR="005C67B6" w:rsidRPr="00377607" w:rsidRDefault="005C67B6" w:rsidP="001378A8">
            <w:pPr>
              <w:spacing w:line="240" w:lineRule="auto"/>
              <w:rPr>
                <w:rFonts w:cs="Arial"/>
                <w:szCs w:val="24"/>
              </w:rPr>
            </w:pPr>
          </w:p>
        </w:tc>
      </w:tr>
      <w:tr w:rsidR="005C67B6" w14:paraId="0A3D57A7" w14:textId="77777777" w:rsidTr="001378A8">
        <w:tc>
          <w:tcPr>
            <w:tcW w:w="9360" w:type="dxa"/>
            <w:tcBorders>
              <w:top w:val="single" w:sz="8" w:space="0" w:color="auto"/>
            </w:tcBorders>
          </w:tcPr>
          <w:p w14:paraId="213F08B2" w14:textId="77777777" w:rsidR="005C67B6" w:rsidRPr="00377607" w:rsidRDefault="005C67B6" w:rsidP="001378A8">
            <w:pPr>
              <w:spacing w:line="240" w:lineRule="auto"/>
              <w:rPr>
                <w:rFonts w:cs="Arial"/>
                <w:szCs w:val="24"/>
              </w:rPr>
            </w:pPr>
          </w:p>
        </w:tc>
      </w:tr>
    </w:tbl>
    <w:p w14:paraId="6E5863FA" w14:textId="77777777" w:rsidR="005C67B6" w:rsidRPr="00EB28CD" w:rsidRDefault="005C67B6" w:rsidP="005C67B6">
      <w:pPr>
        <w:pStyle w:val="Paragraphe"/>
        <w:spacing w:before="240" w:line="240" w:lineRule="auto"/>
        <w:rPr>
          <w:rFonts w:cs="Arial"/>
          <w:szCs w:val="24"/>
        </w:rPr>
      </w:pPr>
      <w:r w:rsidRPr="00377607">
        <w:rPr>
          <w:rFonts w:cs="Arial"/>
          <w:szCs w:val="24"/>
        </w:rPr>
        <w:t xml:space="preserve">Le Directeur des poursuites criminelles et pénales (« DPCP ») porte en appel les peines prononcées par </w:t>
      </w:r>
      <w:r>
        <w:rPr>
          <w:rFonts w:cs="Arial"/>
          <w:szCs w:val="24"/>
        </w:rPr>
        <w:t>la Cour du Québec, chambre criminelle et pénale (</w:t>
      </w:r>
      <w:r w:rsidRPr="00E12448">
        <w:rPr>
          <w:rFonts w:cs="Arial"/>
          <w:szCs w:val="24"/>
        </w:rPr>
        <w:t>l’honorable Louise Leduc</w:t>
      </w:r>
      <w:r>
        <w:rPr>
          <w:rFonts w:cs="Arial"/>
          <w:szCs w:val="24"/>
        </w:rPr>
        <w:t>),</w:t>
      </w:r>
      <w:r w:rsidRPr="00377607">
        <w:rPr>
          <w:rFonts w:cs="Arial"/>
          <w:szCs w:val="24"/>
        </w:rPr>
        <w:t xml:space="preserve"> relativement à trois chefs d</w:t>
      </w:r>
      <w:r>
        <w:rPr>
          <w:rFonts w:cs="Arial"/>
          <w:szCs w:val="24"/>
        </w:rPr>
        <w:t>’</w:t>
      </w:r>
      <w:r w:rsidRPr="00377607">
        <w:rPr>
          <w:rFonts w:cs="Arial"/>
          <w:szCs w:val="24"/>
        </w:rPr>
        <w:t>accusation liés à de la pornographie juvénile</w:t>
      </w:r>
      <w:r>
        <w:rPr>
          <w:rStyle w:val="Appelnotedebasdep"/>
          <w:rFonts w:cs="Arial"/>
          <w:szCs w:val="24"/>
        </w:rPr>
        <w:footnoteReference w:id="1"/>
      </w:r>
      <w:r>
        <w:rPr>
          <w:rFonts w:cs="Arial"/>
          <w:szCs w:val="24"/>
        </w:rPr>
        <w:t>.</w:t>
      </w:r>
      <w:r w:rsidRPr="00377607">
        <w:rPr>
          <w:rFonts w:cs="Arial"/>
          <w:szCs w:val="24"/>
        </w:rPr>
        <w:t xml:space="preserve"> La Cour est en outre saisie d</w:t>
      </w:r>
      <w:r>
        <w:rPr>
          <w:rFonts w:cs="Arial"/>
          <w:szCs w:val="24"/>
        </w:rPr>
        <w:t>’</w:t>
      </w:r>
      <w:r w:rsidRPr="00377607">
        <w:rPr>
          <w:rFonts w:cs="Arial"/>
          <w:szCs w:val="24"/>
        </w:rPr>
        <w:t>une demande d</w:t>
      </w:r>
      <w:r>
        <w:rPr>
          <w:rFonts w:cs="Arial"/>
          <w:szCs w:val="24"/>
        </w:rPr>
        <w:t>’</w:t>
      </w:r>
      <w:r w:rsidRPr="00377607">
        <w:rPr>
          <w:rFonts w:cs="Arial"/>
          <w:szCs w:val="24"/>
        </w:rPr>
        <w:t>autorisation d</w:t>
      </w:r>
      <w:r>
        <w:rPr>
          <w:rFonts w:cs="Arial"/>
          <w:szCs w:val="24"/>
        </w:rPr>
        <w:t>’</w:t>
      </w:r>
      <w:r w:rsidRPr="00377607">
        <w:rPr>
          <w:rFonts w:cs="Arial"/>
          <w:szCs w:val="24"/>
        </w:rPr>
        <w:t xml:space="preserve">appel déposée par le </w:t>
      </w:r>
      <w:r>
        <w:rPr>
          <w:rFonts w:cs="Arial"/>
          <w:szCs w:val="24"/>
        </w:rPr>
        <w:t>p</w:t>
      </w:r>
      <w:r w:rsidRPr="00377607">
        <w:rPr>
          <w:rFonts w:cs="Arial"/>
          <w:szCs w:val="24"/>
        </w:rPr>
        <w:t>rocureur général du Québec (« PGQ »).</w:t>
      </w:r>
    </w:p>
    <w:p w14:paraId="50006482" w14:textId="77777777" w:rsidR="005C67B6" w:rsidRPr="00377607" w:rsidRDefault="005C67B6" w:rsidP="005C67B6">
      <w:pPr>
        <w:pStyle w:val="Paragraphe"/>
        <w:numPr>
          <w:ilvl w:val="0"/>
          <w:numId w:val="0"/>
        </w:numPr>
        <w:spacing w:before="0" w:after="0" w:line="240" w:lineRule="auto"/>
        <w:jc w:val="center"/>
        <w:rPr>
          <w:rFonts w:cs="Arial"/>
          <w:b/>
          <w:bCs/>
          <w:szCs w:val="24"/>
        </w:rPr>
      </w:pPr>
      <w:r w:rsidRPr="00377607">
        <w:rPr>
          <w:rFonts w:cs="Arial"/>
          <w:b/>
          <w:bCs/>
          <w:szCs w:val="24"/>
        </w:rPr>
        <w:t>I</w:t>
      </w:r>
    </w:p>
    <w:p w14:paraId="3A1C9E47" w14:textId="77777777" w:rsidR="005C67B6" w:rsidRPr="00377607" w:rsidRDefault="005C67B6" w:rsidP="005C67B6">
      <w:pPr>
        <w:pStyle w:val="Paragraphe"/>
        <w:numPr>
          <w:ilvl w:val="0"/>
          <w:numId w:val="0"/>
        </w:numPr>
        <w:spacing w:before="0" w:after="240" w:line="240" w:lineRule="auto"/>
        <w:jc w:val="center"/>
        <w:rPr>
          <w:rFonts w:cs="Arial"/>
          <w:b/>
          <w:bCs/>
          <w:szCs w:val="24"/>
        </w:rPr>
      </w:pPr>
      <w:r w:rsidRPr="00377607">
        <w:rPr>
          <w:rFonts w:cs="Arial"/>
          <w:b/>
          <w:bCs/>
          <w:szCs w:val="24"/>
        </w:rPr>
        <w:t>Introduction</w:t>
      </w:r>
    </w:p>
    <w:p w14:paraId="76F0D578" w14:textId="77777777" w:rsidR="005C67B6" w:rsidRPr="00EB28CD" w:rsidRDefault="005C67B6" w:rsidP="005C67B6">
      <w:pPr>
        <w:pStyle w:val="Paragraphe"/>
        <w:spacing w:line="240" w:lineRule="auto"/>
        <w:rPr>
          <w:rFonts w:cs="Arial"/>
          <w:szCs w:val="24"/>
        </w:rPr>
      </w:pPr>
      <w:r w:rsidRPr="00377607">
        <w:rPr>
          <w:rFonts w:cs="Arial"/>
          <w:szCs w:val="24"/>
        </w:rPr>
        <w:t>L</w:t>
      </w:r>
      <w:r>
        <w:rPr>
          <w:rFonts w:cs="Arial"/>
          <w:szCs w:val="24"/>
        </w:rPr>
        <w:t>’</w:t>
      </w:r>
      <w:r w:rsidRPr="00377607">
        <w:rPr>
          <w:rFonts w:cs="Arial"/>
          <w:szCs w:val="24"/>
        </w:rPr>
        <w:t xml:space="preserve">article 163.1 du </w:t>
      </w:r>
      <w:r w:rsidRPr="00377607">
        <w:rPr>
          <w:rFonts w:cs="Arial"/>
          <w:i/>
          <w:iCs/>
          <w:szCs w:val="24"/>
        </w:rPr>
        <w:t>Code criminel</w:t>
      </w:r>
      <w:r w:rsidRPr="00EB28CD">
        <w:rPr>
          <w:rStyle w:val="Appelnotedebasdep"/>
          <w:rFonts w:cs="Arial"/>
          <w:szCs w:val="24"/>
        </w:rPr>
        <w:footnoteReference w:id="2"/>
      </w:r>
      <w:r w:rsidRPr="00377607">
        <w:rPr>
          <w:rFonts w:cs="Arial"/>
          <w:szCs w:val="24"/>
        </w:rPr>
        <w:t xml:space="preserve"> comprend quatre infractions en matière de pornographie juvénile :</w:t>
      </w:r>
    </w:p>
    <w:p w14:paraId="103A47F8" w14:textId="77777777" w:rsidR="005C67B6" w:rsidRPr="00377607" w:rsidRDefault="005C67B6" w:rsidP="005C67B6">
      <w:pPr>
        <w:pStyle w:val="Paragraphe"/>
        <w:numPr>
          <w:ilvl w:val="0"/>
          <w:numId w:val="21"/>
        </w:numPr>
        <w:spacing w:line="240" w:lineRule="auto"/>
        <w:ind w:left="1094" w:hanging="357"/>
        <w:rPr>
          <w:rFonts w:cs="Arial"/>
          <w:szCs w:val="24"/>
        </w:rPr>
      </w:pPr>
      <w:r w:rsidRPr="00377607">
        <w:rPr>
          <w:rFonts w:cs="Arial"/>
          <w:szCs w:val="24"/>
        </w:rPr>
        <w:t xml:space="preserve">production (par. 163.1(2)); </w:t>
      </w:r>
    </w:p>
    <w:p w14:paraId="26E7B3D0" w14:textId="77777777" w:rsidR="005C67B6" w:rsidRPr="00377607" w:rsidRDefault="005C67B6" w:rsidP="005C67B6">
      <w:pPr>
        <w:pStyle w:val="Paragraphe"/>
        <w:numPr>
          <w:ilvl w:val="0"/>
          <w:numId w:val="21"/>
        </w:numPr>
        <w:spacing w:line="240" w:lineRule="auto"/>
        <w:ind w:left="1094" w:hanging="357"/>
        <w:rPr>
          <w:rFonts w:cs="Arial"/>
          <w:szCs w:val="24"/>
        </w:rPr>
      </w:pPr>
      <w:r w:rsidRPr="00377607">
        <w:rPr>
          <w:rFonts w:cs="Arial"/>
          <w:szCs w:val="24"/>
        </w:rPr>
        <w:t xml:space="preserve">distribution (par. 163.1(3)); </w:t>
      </w:r>
    </w:p>
    <w:p w14:paraId="21E9E750" w14:textId="77777777" w:rsidR="005C67B6" w:rsidRPr="00377607" w:rsidRDefault="005C67B6" w:rsidP="005C67B6">
      <w:pPr>
        <w:pStyle w:val="Paragraphe"/>
        <w:numPr>
          <w:ilvl w:val="0"/>
          <w:numId w:val="21"/>
        </w:numPr>
        <w:spacing w:line="240" w:lineRule="auto"/>
        <w:ind w:left="1094" w:hanging="357"/>
        <w:rPr>
          <w:rFonts w:cs="Arial"/>
          <w:szCs w:val="24"/>
        </w:rPr>
      </w:pPr>
      <w:r w:rsidRPr="00377607">
        <w:rPr>
          <w:rFonts w:cs="Arial"/>
          <w:szCs w:val="24"/>
        </w:rPr>
        <w:t xml:space="preserve">possession (par. 163.1(4)); </w:t>
      </w:r>
    </w:p>
    <w:p w14:paraId="255BBD1C" w14:textId="77777777" w:rsidR="005C67B6" w:rsidRPr="00377607" w:rsidRDefault="005C67B6" w:rsidP="005C67B6">
      <w:pPr>
        <w:pStyle w:val="Paragraphe"/>
        <w:numPr>
          <w:ilvl w:val="0"/>
          <w:numId w:val="21"/>
        </w:numPr>
        <w:spacing w:line="240" w:lineRule="auto"/>
        <w:ind w:left="1094" w:hanging="357"/>
        <w:rPr>
          <w:rFonts w:cs="Arial"/>
          <w:szCs w:val="24"/>
        </w:rPr>
      </w:pPr>
      <w:r w:rsidRPr="00377607">
        <w:rPr>
          <w:rFonts w:cs="Arial"/>
          <w:szCs w:val="24"/>
        </w:rPr>
        <w:t xml:space="preserve">accès (par. 163.1(4.1)). </w:t>
      </w:r>
    </w:p>
    <w:p w14:paraId="4B7294DE" w14:textId="77777777" w:rsidR="005C67B6" w:rsidRPr="001D24C8" w:rsidRDefault="005C67B6" w:rsidP="005C67B6">
      <w:pPr>
        <w:pStyle w:val="Paragraphe"/>
        <w:spacing w:before="240" w:line="240" w:lineRule="auto"/>
        <w:rPr>
          <w:rFonts w:cs="Arial"/>
          <w:szCs w:val="24"/>
        </w:rPr>
      </w:pPr>
      <w:r w:rsidRPr="00377607">
        <w:rPr>
          <w:rFonts w:cs="Arial"/>
          <w:szCs w:val="24"/>
        </w:rPr>
        <w:t>La production et la distribution sont des actes criminels passibles d</w:t>
      </w:r>
      <w:r>
        <w:rPr>
          <w:rFonts w:cs="Arial"/>
          <w:szCs w:val="24"/>
        </w:rPr>
        <w:t>’</w:t>
      </w:r>
      <w:r w:rsidRPr="00377607">
        <w:rPr>
          <w:rFonts w:cs="Arial"/>
          <w:szCs w:val="24"/>
        </w:rPr>
        <w:t xml:space="preserve">une peine maximale de </w:t>
      </w:r>
      <w:r>
        <w:rPr>
          <w:rFonts w:cs="Arial"/>
          <w:szCs w:val="24"/>
        </w:rPr>
        <w:t>14</w:t>
      </w:r>
      <w:r w:rsidRPr="00377607">
        <w:rPr>
          <w:rFonts w:cs="Arial"/>
          <w:szCs w:val="24"/>
        </w:rPr>
        <w:t xml:space="preserve"> ans et d</w:t>
      </w:r>
      <w:r>
        <w:rPr>
          <w:rFonts w:cs="Arial"/>
          <w:szCs w:val="24"/>
        </w:rPr>
        <w:t>’</w:t>
      </w:r>
      <w:r w:rsidRPr="00377607">
        <w:rPr>
          <w:rFonts w:cs="Arial"/>
          <w:szCs w:val="24"/>
        </w:rPr>
        <w:t>une peine minimale d</w:t>
      </w:r>
      <w:r>
        <w:rPr>
          <w:rFonts w:cs="Arial"/>
          <w:szCs w:val="24"/>
        </w:rPr>
        <w:t>’</w:t>
      </w:r>
      <w:r w:rsidRPr="00377607">
        <w:rPr>
          <w:rFonts w:cs="Arial"/>
          <w:szCs w:val="24"/>
        </w:rPr>
        <w:t>un an. La possession et l</w:t>
      </w:r>
      <w:r>
        <w:rPr>
          <w:rFonts w:cs="Arial"/>
          <w:szCs w:val="24"/>
        </w:rPr>
        <w:t>’</w:t>
      </w:r>
      <w:r w:rsidRPr="00377607">
        <w:rPr>
          <w:rFonts w:cs="Arial"/>
          <w:szCs w:val="24"/>
        </w:rPr>
        <w:t xml:space="preserve">accès entraînent une peine maximale de </w:t>
      </w:r>
      <w:r>
        <w:rPr>
          <w:rFonts w:cs="Arial"/>
          <w:szCs w:val="24"/>
        </w:rPr>
        <w:t>10</w:t>
      </w:r>
      <w:r w:rsidRPr="00377607">
        <w:rPr>
          <w:rFonts w:cs="Arial"/>
          <w:szCs w:val="24"/>
        </w:rPr>
        <w:t xml:space="preserve"> ans et une peine minimale d</w:t>
      </w:r>
      <w:r>
        <w:rPr>
          <w:rFonts w:cs="Arial"/>
          <w:szCs w:val="24"/>
        </w:rPr>
        <w:t>’</w:t>
      </w:r>
      <w:r w:rsidRPr="00377607">
        <w:rPr>
          <w:rFonts w:cs="Arial"/>
          <w:szCs w:val="24"/>
        </w:rPr>
        <w:t>un an s</w:t>
      </w:r>
      <w:r>
        <w:rPr>
          <w:rFonts w:cs="Arial"/>
          <w:szCs w:val="24"/>
        </w:rPr>
        <w:t>’</w:t>
      </w:r>
      <w:r w:rsidRPr="00377607">
        <w:rPr>
          <w:rFonts w:cs="Arial"/>
          <w:szCs w:val="24"/>
        </w:rPr>
        <w:t xml:space="preserve">ils sont poursuivis par voie de mise en accusation, </w:t>
      </w:r>
      <w:r>
        <w:rPr>
          <w:rFonts w:cs="Arial"/>
          <w:szCs w:val="24"/>
        </w:rPr>
        <w:t xml:space="preserve">ou </w:t>
      </w:r>
      <w:r w:rsidRPr="00377607">
        <w:rPr>
          <w:rFonts w:cs="Arial"/>
          <w:szCs w:val="24"/>
        </w:rPr>
        <w:t>de six mois si la poursuite a lieu par voie de procédure sommaire. L</w:t>
      </w:r>
      <w:r>
        <w:rPr>
          <w:rFonts w:cs="Arial"/>
          <w:szCs w:val="24"/>
        </w:rPr>
        <w:t>’</w:t>
      </w:r>
      <w:r w:rsidRPr="00377607">
        <w:rPr>
          <w:rFonts w:cs="Arial"/>
          <w:szCs w:val="24"/>
        </w:rPr>
        <w:t>intimée plaid</w:t>
      </w:r>
      <w:r>
        <w:rPr>
          <w:rFonts w:cs="Arial"/>
          <w:szCs w:val="24"/>
        </w:rPr>
        <w:t xml:space="preserve">e </w:t>
      </w:r>
      <w:r w:rsidRPr="00377607">
        <w:rPr>
          <w:rFonts w:cs="Arial"/>
          <w:szCs w:val="24"/>
        </w:rPr>
        <w:t xml:space="preserve">coupable aux trois chefs dont elle </w:t>
      </w:r>
      <w:r>
        <w:rPr>
          <w:rFonts w:cs="Arial"/>
          <w:szCs w:val="24"/>
        </w:rPr>
        <w:t>es</w:t>
      </w:r>
      <w:r w:rsidRPr="00377607">
        <w:rPr>
          <w:rFonts w:cs="Arial"/>
          <w:szCs w:val="24"/>
        </w:rPr>
        <w:t>t accusée par mise en accusation : production, distribution et possession de pornographie juvénile. Elle n</w:t>
      </w:r>
      <w:r>
        <w:rPr>
          <w:rFonts w:cs="Arial"/>
          <w:szCs w:val="24"/>
        </w:rPr>
        <w:t>’est</w:t>
      </w:r>
      <w:r w:rsidRPr="00377607">
        <w:rPr>
          <w:rFonts w:cs="Arial"/>
          <w:szCs w:val="24"/>
        </w:rPr>
        <w:t xml:space="preserve"> pas inculpée d</w:t>
      </w:r>
      <w:r>
        <w:rPr>
          <w:rFonts w:cs="Arial"/>
          <w:szCs w:val="24"/>
        </w:rPr>
        <w:t>’</w:t>
      </w:r>
      <w:r w:rsidRPr="00377607">
        <w:rPr>
          <w:rFonts w:cs="Arial"/>
          <w:szCs w:val="24"/>
        </w:rPr>
        <w:t xml:space="preserve">accès. </w:t>
      </w:r>
    </w:p>
    <w:p w14:paraId="05C5DD3F" w14:textId="77777777" w:rsidR="005C67B6" w:rsidRPr="00EB28CD" w:rsidRDefault="005C67B6" w:rsidP="005C67B6">
      <w:pPr>
        <w:pStyle w:val="Paragraphe"/>
        <w:spacing w:line="240" w:lineRule="auto"/>
        <w:rPr>
          <w:rFonts w:cs="Arial"/>
          <w:szCs w:val="24"/>
        </w:rPr>
      </w:pPr>
      <w:r w:rsidRPr="00377607">
        <w:rPr>
          <w:rFonts w:cs="Arial"/>
          <w:szCs w:val="24"/>
        </w:rPr>
        <w:t>La juge chargée de déterminer la peine conclu</w:t>
      </w:r>
      <w:r>
        <w:rPr>
          <w:rFonts w:cs="Arial"/>
          <w:szCs w:val="24"/>
        </w:rPr>
        <w:t>t</w:t>
      </w:r>
      <w:r w:rsidRPr="00377607">
        <w:rPr>
          <w:rFonts w:cs="Arial"/>
          <w:szCs w:val="24"/>
        </w:rPr>
        <w:t xml:space="preserve"> que, pour l</w:t>
      </w:r>
      <w:r>
        <w:rPr>
          <w:rFonts w:cs="Arial"/>
          <w:szCs w:val="24"/>
        </w:rPr>
        <w:t>’</w:t>
      </w:r>
      <w:r w:rsidRPr="00377607">
        <w:rPr>
          <w:rFonts w:cs="Arial"/>
          <w:szCs w:val="24"/>
        </w:rPr>
        <w:t>intimée, les peines minimales obligatoires seraient totalement disproportionnées au sens de l</w:t>
      </w:r>
      <w:r>
        <w:rPr>
          <w:rFonts w:cs="Arial"/>
          <w:szCs w:val="24"/>
        </w:rPr>
        <w:t>’</w:t>
      </w:r>
      <w:r w:rsidRPr="00377607">
        <w:rPr>
          <w:rFonts w:cs="Arial"/>
          <w:szCs w:val="24"/>
        </w:rPr>
        <w:t xml:space="preserve">article 12 de la </w:t>
      </w:r>
      <w:r w:rsidRPr="00377607">
        <w:rPr>
          <w:rFonts w:cs="Arial"/>
          <w:i/>
          <w:iCs/>
          <w:szCs w:val="24"/>
        </w:rPr>
        <w:t xml:space="preserve">Charte </w:t>
      </w:r>
      <w:r w:rsidRPr="00377607">
        <w:rPr>
          <w:rFonts w:cs="Arial"/>
          <w:szCs w:val="24"/>
        </w:rPr>
        <w:t xml:space="preserve">et sont inopérantes par </w:t>
      </w:r>
      <w:r>
        <w:rPr>
          <w:rFonts w:cs="Arial"/>
          <w:szCs w:val="24"/>
        </w:rPr>
        <w:t>l’</w:t>
      </w:r>
      <w:r w:rsidRPr="00377607">
        <w:rPr>
          <w:rFonts w:cs="Arial"/>
          <w:szCs w:val="24"/>
        </w:rPr>
        <w:t>effet du paragraphe</w:t>
      </w:r>
      <w:r>
        <w:rPr>
          <w:rFonts w:cs="Arial"/>
          <w:szCs w:val="24"/>
        </w:rPr>
        <w:t> </w:t>
      </w:r>
      <w:r w:rsidRPr="00377607">
        <w:rPr>
          <w:rFonts w:cs="Arial"/>
          <w:szCs w:val="24"/>
        </w:rPr>
        <w:t>24(1). Le 10 janvier 2024, elle ordonn</w:t>
      </w:r>
      <w:r>
        <w:rPr>
          <w:rFonts w:cs="Arial"/>
          <w:szCs w:val="24"/>
        </w:rPr>
        <w:t>e</w:t>
      </w:r>
      <w:r w:rsidRPr="00377607">
        <w:rPr>
          <w:rFonts w:cs="Arial"/>
          <w:szCs w:val="24"/>
        </w:rPr>
        <w:t xml:space="preserve"> des peines de détention discontinue de « trois mois » sur chacun des chefs concurremment à une peine de probation de deux ans, incluant l</w:t>
      </w:r>
      <w:r>
        <w:rPr>
          <w:rFonts w:cs="Arial"/>
          <w:szCs w:val="24"/>
        </w:rPr>
        <w:t>’</w:t>
      </w:r>
      <w:r w:rsidRPr="00377607">
        <w:rPr>
          <w:rFonts w:cs="Arial"/>
          <w:szCs w:val="24"/>
        </w:rPr>
        <w:t>obligation d</w:t>
      </w:r>
      <w:r>
        <w:rPr>
          <w:rFonts w:cs="Arial"/>
          <w:szCs w:val="24"/>
        </w:rPr>
        <w:t>’</w:t>
      </w:r>
      <w:r w:rsidRPr="00377607">
        <w:rPr>
          <w:rFonts w:cs="Arial"/>
          <w:szCs w:val="24"/>
        </w:rPr>
        <w:t xml:space="preserve">exécuter 240 heures de travaux communautaires. </w:t>
      </w:r>
    </w:p>
    <w:p w14:paraId="12C57023" w14:textId="77777777" w:rsidR="005C67B6" w:rsidRPr="00EB28CD" w:rsidRDefault="005C67B6" w:rsidP="005C67B6">
      <w:pPr>
        <w:pStyle w:val="Paragraphe"/>
        <w:spacing w:line="240" w:lineRule="auto"/>
        <w:rPr>
          <w:rFonts w:cs="Arial"/>
          <w:szCs w:val="24"/>
        </w:rPr>
      </w:pPr>
      <w:r w:rsidRPr="00377607">
        <w:rPr>
          <w:rFonts w:cs="Arial"/>
          <w:szCs w:val="24"/>
        </w:rPr>
        <w:t xml:space="preserve">Un juge de la Cour </w:t>
      </w:r>
      <w:r>
        <w:rPr>
          <w:rFonts w:cs="Arial"/>
          <w:szCs w:val="24"/>
        </w:rPr>
        <w:t xml:space="preserve">siégeant seul </w:t>
      </w:r>
      <w:r w:rsidRPr="00377607">
        <w:rPr>
          <w:rFonts w:cs="Arial"/>
          <w:szCs w:val="24"/>
        </w:rPr>
        <w:t xml:space="preserve">a autorisé le DPCP à interjeter appel sur les moyens suivants : </w:t>
      </w:r>
    </w:p>
    <w:p w14:paraId="3B6BB5AC" w14:textId="77777777" w:rsidR="005C67B6" w:rsidRPr="00BF1818" w:rsidRDefault="005C67B6" w:rsidP="005C67B6">
      <w:pPr>
        <w:pStyle w:val="Paragraphe"/>
        <w:numPr>
          <w:ilvl w:val="0"/>
          <w:numId w:val="0"/>
        </w:numPr>
        <w:spacing w:line="240" w:lineRule="auto"/>
        <w:ind w:left="720" w:right="720"/>
        <w:rPr>
          <w:rFonts w:cs="Arial"/>
          <w:sz w:val="22"/>
          <w:szCs w:val="22"/>
        </w:rPr>
      </w:pPr>
      <w:r w:rsidRPr="00BF1818">
        <w:rPr>
          <w:rFonts w:cs="Arial"/>
          <w:sz w:val="22"/>
          <w:szCs w:val="22"/>
        </w:rPr>
        <w:t>8.1. La juge de première instance a prononcé une peine illégale pour deux motifs :</w:t>
      </w:r>
    </w:p>
    <w:p w14:paraId="2E2561D9" w14:textId="77777777" w:rsidR="005C67B6" w:rsidRPr="00BF1818" w:rsidRDefault="005C67B6" w:rsidP="005C67B6">
      <w:pPr>
        <w:pStyle w:val="Paragraphe"/>
        <w:numPr>
          <w:ilvl w:val="0"/>
          <w:numId w:val="0"/>
        </w:numPr>
        <w:spacing w:line="240" w:lineRule="auto"/>
        <w:ind w:left="1134" w:right="720"/>
        <w:rPr>
          <w:rFonts w:cs="Arial"/>
          <w:sz w:val="22"/>
          <w:szCs w:val="22"/>
        </w:rPr>
      </w:pPr>
      <w:r w:rsidRPr="00BF1818">
        <w:rPr>
          <w:rFonts w:cs="Arial"/>
          <w:sz w:val="22"/>
          <w:szCs w:val="22"/>
        </w:rPr>
        <w:t xml:space="preserve">8.1.1. La peine contrevient aux peines minimales d’un an d’emprisonnement prévues aux articles 163.1(2) et 163.1(3) </w:t>
      </w:r>
      <w:r w:rsidRPr="00BF1818">
        <w:rPr>
          <w:rFonts w:cs="Arial"/>
          <w:i/>
          <w:iCs/>
          <w:sz w:val="22"/>
          <w:szCs w:val="22"/>
        </w:rPr>
        <w:t>C.cr</w:t>
      </w:r>
      <w:r w:rsidRPr="00BF1818">
        <w:rPr>
          <w:rFonts w:cs="Arial"/>
          <w:sz w:val="22"/>
          <w:szCs w:val="22"/>
        </w:rPr>
        <w:t>., dont l’inconstitutionnalité n’a pas été déclarée par la juge</w:t>
      </w:r>
      <w:r w:rsidRPr="00BF1818">
        <w:rPr>
          <w:rStyle w:val="Appelnotedebasdep"/>
          <w:rFonts w:cs="Arial"/>
          <w:sz w:val="22"/>
          <w:szCs w:val="22"/>
        </w:rPr>
        <w:footnoteReference w:id="3"/>
      </w:r>
      <w:r w:rsidRPr="00BF1818">
        <w:rPr>
          <w:rFonts w:cs="Arial"/>
          <w:sz w:val="22"/>
          <w:szCs w:val="22"/>
        </w:rPr>
        <w:t>.</w:t>
      </w:r>
    </w:p>
    <w:p w14:paraId="6B279DEB" w14:textId="77777777" w:rsidR="005C67B6" w:rsidRPr="00BF1818" w:rsidRDefault="005C67B6" w:rsidP="005C67B6">
      <w:pPr>
        <w:pStyle w:val="Paragraphe"/>
        <w:numPr>
          <w:ilvl w:val="0"/>
          <w:numId w:val="0"/>
        </w:numPr>
        <w:spacing w:line="240" w:lineRule="auto"/>
        <w:ind w:left="1134" w:right="720"/>
        <w:rPr>
          <w:rFonts w:cs="Arial"/>
          <w:sz w:val="22"/>
          <w:szCs w:val="22"/>
        </w:rPr>
      </w:pPr>
      <w:r w:rsidRPr="00BF1818">
        <w:rPr>
          <w:rFonts w:cs="Arial"/>
          <w:sz w:val="22"/>
          <w:szCs w:val="22"/>
        </w:rPr>
        <w:t xml:space="preserve">8.1.2. La peine de trois mois d’emprisonnement infligée dépasse la durée maximale de 90 jours d’emprisonnement prévue à l’article 732(1) </w:t>
      </w:r>
      <w:r w:rsidRPr="00BF1818">
        <w:rPr>
          <w:rFonts w:cs="Arial"/>
          <w:i/>
          <w:iCs/>
          <w:sz w:val="22"/>
          <w:szCs w:val="22"/>
        </w:rPr>
        <w:t>C.cr.</w:t>
      </w:r>
      <w:r w:rsidRPr="00BF1818">
        <w:rPr>
          <w:rFonts w:cs="Arial"/>
          <w:sz w:val="22"/>
          <w:szCs w:val="22"/>
        </w:rPr>
        <w:t xml:space="preserve"> et ne pouvait par conséquent être purgée de manière discontinue.</w:t>
      </w:r>
    </w:p>
    <w:p w14:paraId="69E22346" w14:textId="77777777" w:rsidR="005C67B6" w:rsidRPr="00EB28CD" w:rsidRDefault="005C67B6" w:rsidP="005C67B6">
      <w:pPr>
        <w:pStyle w:val="Paragraphe"/>
        <w:spacing w:line="240" w:lineRule="auto"/>
        <w:rPr>
          <w:rFonts w:cs="Arial"/>
          <w:szCs w:val="24"/>
        </w:rPr>
      </w:pPr>
      <w:r>
        <w:rPr>
          <w:rFonts w:cs="Arial"/>
          <w:szCs w:val="24"/>
        </w:rPr>
        <w:t>Devant la Cour du Québec, l</w:t>
      </w:r>
      <w:r w:rsidRPr="00377607">
        <w:rPr>
          <w:rFonts w:cs="Arial"/>
          <w:szCs w:val="24"/>
        </w:rPr>
        <w:t xml:space="preserve">e PGQ a </w:t>
      </w:r>
      <w:r>
        <w:rPr>
          <w:rFonts w:cs="Arial"/>
          <w:szCs w:val="24"/>
        </w:rPr>
        <w:t>fait valoir</w:t>
      </w:r>
      <w:r w:rsidRPr="00377607">
        <w:rPr>
          <w:rFonts w:cs="Arial"/>
          <w:szCs w:val="24"/>
        </w:rPr>
        <w:t xml:space="preserve"> ses observations, à titre de mis en cause, </w:t>
      </w:r>
      <w:r>
        <w:rPr>
          <w:rFonts w:cs="Arial"/>
          <w:szCs w:val="24"/>
        </w:rPr>
        <w:t>sur</w:t>
      </w:r>
      <w:r w:rsidRPr="00377607">
        <w:rPr>
          <w:rFonts w:cs="Arial"/>
          <w:szCs w:val="24"/>
        </w:rPr>
        <w:t xml:space="preserve"> la validité constitutionnelle des peines minimales obligatoires applicables aux trois infractions auxquelles l</w:t>
      </w:r>
      <w:r>
        <w:rPr>
          <w:rFonts w:cs="Arial"/>
          <w:szCs w:val="24"/>
        </w:rPr>
        <w:t>’</w:t>
      </w:r>
      <w:r w:rsidRPr="00377607">
        <w:rPr>
          <w:rFonts w:cs="Arial"/>
          <w:szCs w:val="24"/>
        </w:rPr>
        <w:t>intimée a plaidé coupable. La demande d</w:t>
      </w:r>
      <w:r>
        <w:rPr>
          <w:rFonts w:cs="Arial"/>
          <w:szCs w:val="24"/>
        </w:rPr>
        <w:t>’</w:t>
      </w:r>
      <w:r w:rsidRPr="00377607">
        <w:rPr>
          <w:rFonts w:cs="Arial"/>
          <w:szCs w:val="24"/>
        </w:rPr>
        <w:t>autorisation d</w:t>
      </w:r>
      <w:r>
        <w:rPr>
          <w:rFonts w:cs="Arial"/>
          <w:szCs w:val="24"/>
        </w:rPr>
        <w:t>’</w:t>
      </w:r>
      <w:r w:rsidRPr="00377607">
        <w:rPr>
          <w:rFonts w:cs="Arial"/>
          <w:szCs w:val="24"/>
        </w:rPr>
        <w:t>appel a été présentée conjointement par le DPCP et le PGQ</w:t>
      </w:r>
      <w:r>
        <w:rPr>
          <w:rStyle w:val="Appelnotedebasdep"/>
          <w:rFonts w:cs="Arial"/>
          <w:szCs w:val="24"/>
        </w:rPr>
        <w:footnoteReference w:id="4"/>
      </w:r>
      <w:r>
        <w:rPr>
          <w:rFonts w:cs="Arial"/>
          <w:szCs w:val="24"/>
        </w:rPr>
        <w:t>.</w:t>
      </w:r>
      <w:r w:rsidRPr="00377607">
        <w:rPr>
          <w:rFonts w:cs="Arial"/>
          <w:szCs w:val="24"/>
        </w:rPr>
        <w:t xml:space="preserve"> Le PGQ sollicite l</w:t>
      </w:r>
      <w:r>
        <w:rPr>
          <w:rFonts w:cs="Arial"/>
          <w:szCs w:val="24"/>
        </w:rPr>
        <w:t>’</w:t>
      </w:r>
      <w:r w:rsidRPr="00377607">
        <w:rPr>
          <w:rFonts w:cs="Arial"/>
          <w:szCs w:val="24"/>
        </w:rPr>
        <w:t>autorisation à titre d</w:t>
      </w:r>
      <w:r>
        <w:rPr>
          <w:rFonts w:cs="Arial"/>
          <w:szCs w:val="24"/>
        </w:rPr>
        <w:t>’</w:t>
      </w:r>
      <w:r w:rsidRPr="00377607">
        <w:rPr>
          <w:rFonts w:cs="Arial"/>
          <w:szCs w:val="24"/>
        </w:rPr>
        <w:t xml:space="preserve">appelant. Le juge </w:t>
      </w:r>
      <w:r>
        <w:rPr>
          <w:rFonts w:cs="Arial"/>
          <w:szCs w:val="24"/>
        </w:rPr>
        <w:t>unique</w:t>
      </w:r>
      <w:r w:rsidRPr="00377607">
        <w:rPr>
          <w:rFonts w:cs="Arial"/>
          <w:szCs w:val="24"/>
        </w:rPr>
        <w:t xml:space="preserve"> a déféré cette demande à la présente formation en formulant deux questions préliminaires : </w:t>
      </w:r>
    </w:p>
    <w:p w14:paraId="23702BA5" w14:textId="77777777" w:rsidR="005C67B6" w:rsidRPr="00BF1818" w:rsidRDefault="005C67B6" w:rsidP="005C67B6">
      <w:pPr>
        <w:pStyle w:val="Citationenretrait"/>
        <w:numPr>
          <w:ilvl w:val="0"/>
          <w:numId w:val="29"/>
        </w:numPr>
        <w:spacing w:line="240" w:lineRule="auto"/>
        <w:rPr>
          <w:rFonts w:cs="Arial"/>
          <w:szCs w:val="22"/>
        </w:rPr>
      </w:pPr>
      <w:r w:rsidRPr="00BF1818">
        <w:rPr>
          <w:rFonts w:cs="Arial"/>
          <w:szCs w:val="22"/>
        </w:rPr>
        <w:t xml:space="preserve">L’article 676 </w:t>
      </w:r>
      <w:r w:rsidRPr="00BF1818">
        <w:rPr>
          <w:rFonts w:cs="Arial"/>
          <w:i/>
          <w:iCs/>
          <w:szCs w:val="22"/>
        </w:rPr>
        <w:t>C.cr</w:t>
      </w:r>
      <w:r w:rsidRPr="00BF1818">
        <w:rPr>
          <w:rFonts w:cs="Arial"/>
          <w:szCs w:val="22"/>
        </w:rPr>
        <w:t>. confère-t-il au PGQ un droit d’appel autonome dans le cadre d’un appel initié par le DPCP?</w:t>
      </w:r>
    </w:p>
    <w:p w14:paraId="21470C0B" w14:textId="77777777" w:rsidR="005C67B6" w:rsidRPr="00BF1818" w:rsidRDefault="005C67B6" w:rsidP="005C67B6">
      <w:pPr>
        <w:pStyle w:val="Citationenretrait"/>
        <w:numPr>
          <w:ilvl w:val="0"/>
          <w:numId w:val="29"/>
        </w:numPr>
        <w:spacing w:line="240" w:lineRule="auto"/>
        <w:rPr>
          <w:rFonts w:cs="Arial"/>
          <w:szCs w:val="22"/>
        </w:rPr>
      </w:pPr>
      <w:r w:rsidRPr="00BF1818">
        <w:rPr>
          <w:rFonts w:cs="Arial"/>
          <w:szCs w:val="22"/>
        </w:rPr>
        <w:t xml:space="preserve">Le </w:t>
      </w:r>
      <w:r w:rsidRPr="00BF1818">
        <w:rPr>
          <w:rFonts w:cs="Arial"/>
          <w:i/>
          <w:iCs/>
          <w:szCs w:val="22"/>
        </w:rPr>
        <w:t>Code de procédure civile</w:t>
      </w:r>
      <w:r w:rsidRPr="00BF1818">
        <w:rPr>
          <w:rFonts w:cs="Arial"/>
          <w:szCs w:val="22"/>
        </w:rPr>
        <w:t xml:space="preserve"> confère-t-il au PGQ un droit </w:t>
      </w:r>
      <w:r w:rsidRPr="00E12448">
        <w:rPr>
          <w:rFonts w:cs="Arial"/>
          <w:szCs w:val="22"/>
        </w:rPr>
        <w:t>d’appel sur les questions constitutionnelles soulevées dans le cadre d’une procédure criminelle</w:t>
      </w:r>
      <w:r w:rsidRPr="00BF1818">
        <w:rPr>
          <w:rFonts w:cs="Arial"/>
          <w:szCs w:val="22"/>
        </w:rPr>
        <w:t>?</w:t>
      </w:r>
    </w:p>
    <w:p w14:paraId="3DA5D731" w14:textId="77777777" w:rsidR="005C67B6" w:rsidRPr="00EB28CD" w:rsidRDefault="005C67B6" w:rsidP="005C67B6">
      <w:pPr>
        <w:pStyle w:val="Paragraphe"/>
        <w:spacing w:before="240" w:line="240" w:lineRule="auto"/>
        <w:rPr>
          <w:rFonts w:cs="Arial"/>
          <w:szCs w:val="24"/>
        </w:rPr>
      </w:pPr>
      <w:r w:rsidRPr="00377607">
        <w:rPr>
          <w:rFonts w:cs="Arial"/>
          <w:szCs w:val="24"/>
        </w:rPr>
        <w:t>Le PGQ demande l</w:t>
      </w:r>
      <w:r>
        <w:rPr>
          <w:rFonts w:cs="Arial"/>
          <w:szCs w:val="24"/>
        </w:rPr>
        <w:t>’</w:t>
      </w:r>
      <w:r w:rsidRPr="00377607">
        <w:rPr>
          <w:rFonts w:cs="Arial"/>
          <w:szCs w:val="24"/>
        </w:rPr>
        <w:t>autorisation d</w:t>
      </w:r>
      <w:r>
        <w:rPr>
          <w:rFonts w:cs="Arial"/>
          <w:szCs w:val="24"/>
        </w:rPr>
        <w:t>’</w:t>
      </w:r>
      <w:r w:rsidRPr="00377607">
        <w:rPr>
          <w:rFonts w:cs="Arial"/>
          <w:szCs w:val="24"/>
        </w:rPr>
        <w:t xml:space="preserve">interjeter appel pour les motifs suivants : </w:t>
      </w:r>
    </w:p>
    <w:p w14:paraId="1E3D3A6F" w14:textId="77777777" w:rsidR="005C67B6" w:rsidRPr="00BF1818" w:rsidRDefault="005C67B6" w:rsidP="005C67B6">
      <w:pPr>
        <w:pStyle w:val="Paragraphe"/>
        <w:numPr>
          <w:ilvl w:val="0"/>
          <w:numId w:val="0"/>
        </w:numPr>
        <w:spacing w:line="240" w:lineRule="auto"/>
        <w:ind w:left="720" w:right="720"/>
        <w:rPr>
          <w:rFonts w:cs="Arial"/>
          <w:sz w:val="22"/>
          <w:szCs w:val="22"/>
        </w:rPr>
      </w:pPr>
      <w:r w:rsidRPr="00BF1818">
        <w:rPr>
          <w:rFonts w:cs="Arial"/>
          <w:sz w:val="22"/>
          <w:szCs w:val="22"/>
        </w:rPr>
        <w:t xml:space="preserve">9.1. La juge de première instance a erré en droit, en ne se prononçant pas sur la validité constitutionnelle des peines minimales d’un an d’emprisonnement prévues aux articles 163.1(2) (production) et 163.1(3) (distribution) </w:t>
      </w:r>
      <w:r w:rsidRPr="00BF1818">
        <w:rPr>
          <w:rFonts w:cs="Arial"/>
          <w:i/>
          <w:iCs/>
          <w:sz w:val="22"/>
          <w:szCs w:val="22"/>
        </w:rPr>
        <w:t>C.cr.</w:t>
      </w:r>
      <w:r w:rsidRPr="00BF1818">
        <w:rPr>
          <w:rFonts w:cs="Arial"/>
          <w:sz w:val="22"/>
          <w:szCs w:val="22"/>
        </w:rPr>
        <w:t>, applicables à l’intimée et desquelles elle fait fi, et ce sans analyse et conclusion à l’égard de celles-ci.</w:t>
      </w:r>
    </w:p>
    <w:p w14:paraId="2DF780AD" w14:textId="77777777" w:rsidR="005C67B6" w:rsidRPr="00BF1818" w:rsidRDefault="005C67B6" w:rsidP="005C67B6">
      <w:pPr>
        <w:pStyle w:val="Paragraphe"/>
        <w:numPr>
          <w:ilvl w:val="0"/>
          <w:numId w:val="0"/>
        </w:numPr>
        <w:spacing w:line="240" w:lineRule="auto"/>
        <w:ind w:left="720" w:right="720"/>
        <w:rPr>
          <w:rFonts w:cs="Arial"/>
          <w:sz w:val="22"/>
          <w:szCs w:val="22"/>
        </w:rPr>
      </w:pPr>
      <w:r w:rsidRPr="00BF1818">
        <w:rPr>
          <w:rFonts w:cs="Arial"/>
          <w:sz w:val="22"/>
          <w:szCs w:val="22"/>
        </w:rPr>
        <w:t xml:space="preserve">9.2. La juge de première instance a erré en droit, dans l’application du test de l’arrêt </w:t>
      </w:r>
      <w:r w:rsidRPr="00BF1818">
        <w:rPr>
          <w:rFonts w:cs="Arial"/>
          <w:i/>
          <w:iCs/>
          <w:sz w:val="22"/>
          <w:szCs w:val="22"/>
        </w:rPr>
        <w:t>Hills</w:t>
      </w:r>
      <w:r w:rsidRPr="00BF1818">
        <w:rPr>
          <w:rFonts w:cs="Arial"/>
          <w:sz w:val="22"/>
          <w:szCs w:val="22"/>
        </w:rPr>
        <w:t xml:space="preserve">, lorsqu’elle déclare cruelle et inusitée pour l’intimée la peine minimale d’un an prévue à l’article 163.1(4)a) </w:t>
      </w:r>
      <w:r w:rsidRPr="00BF1818">
        <w:rPr>
          <w:rFonts w:cs="Arial"/>
          <w:i/>
          <w:iCs/>
          <w:sz w:val="22"/>
          <w:szCs w:val="22"/>
        </w:rPr>
        <w:t xml:space="preserve">C.cr. </w:t>
      </w:r>
      <w:r w:rsidRPr="00BF1818">
        <w:rPr>
          <w:rFonts w:cs="Arial"/>
          <w:sz w:val="22"/>
          <w:szCs w:val="22"/>
        </w:rPr>
        <w:t>(possession), en omettant d’examiner l’ensemble des plus récents critères établis par la Cour suprême (portée de l’infraction, effets sur le délinquant, objectifs de la peine).</w:t>
      </w:r>
    </w:p>
    <w:p w14:paraId="0B104A36" w14:textId="77777777" w:rsidR="005C67B6" w:rsidRPr="00BF1818" w:rsidRDefault="005C67B6" w:rsidP="005C67B6">
      <w:pPr>
        <w:pStyle w:val="Paragraphe"/>
        <w:numPr>
          <w:ilvl w:val="0"/>
          <w:numId w:val="0"/>
        </w:numPr>
        <w:spacing w:line="240" w:lineRule="auto"/>
        <w:ind w:left="720" w:right="720"/>
        <w:rPr>
          <w:rFonts w:cs="Arial"/>
          <w:sz w:val="22"/>
          <w:szCs w:val="22"/>
        </w:rPr>
      </w:pPr>
      <w:r w:rsidRPr="00BF1818">
        <w:rPr>
          <w:rFonts w:cs="Arial"/>
          <w:sz w:val="22"/>
          <w:szCs w:val="22"/>
        </w:rPr>
        <w:t xml:space="preserve">9.3. La juge de première instance a erré en droit, en omettant d’énoncer des motifs démontrant en quoi la peine minimale d’un an d’emprisonnement prévue à l’article 163.1(4)a) </w:t>
      </w:r>
      <w:r w:rsidRPr="00BF1818">
        <w:rPr>
          <w:rFonts w:cs="Arial"/>
          <w:i/>
          <w:iCs/>
          <w:sz w:val="22"/>
          <w:szCs w:val="22"/>
        </w:rPr>
        <w:t>C.cr</w:t>
      </w:r>
      <w:r w:rsidRPr="00BF1818">
        <w:rPr>
          <w:rFonts w:cs="Arial"/>
          <w:sz w:val="22"/>
          <w:szCs w:val="22"/>
        </w:rPr>
        <w:t>. serait exagérément disproportionnée pour l’intimée (non pas seulement disproportionnée), et qu’elle serait du même coup incompatible avec la dignité humaine et disproportionnée au point où les Canadiens considéreraient cette peine odieuse ou intolérable.</w:t>
      </w:r>
    </w:p>
    <w:p w14:paraId="0AFBB989" w14:textId="77777777" w:rsidR="005C67B6" w:rsidRPr="00BF1818" w:rsidRDefault="005C67B6" w:rsidP="005C67B6">
      <w:pPr>
        <w:pStyle w:val="Paragraphe"/>
        <w:numPr>
          <w:ilvl w:val="0"/>
          <w:numId w:val="0"/>
        </w:numPr>
        <w:spacing w:line="240" w:lineRule="auto"/>
        <w:ind w:left="720" w:right="720"/>
        <w:rPr>
          <w:rFonts w:cs="Arial"/>
          <w:sz w:val="22"/>
          <w:szCs w:val="22"/>
        </w:rPr>
      </w:pPr>
      <w:r w:rsidRPr="00BF1818">
        <w:rPr>
          <w:rFonts w:cs="Arial"/>
          <w:sz w:val="22"/>
          <w:szCs w:val="22"/>
        </w:rPr>
        <w:t xml:space="preserve">9.4. La gravité objective de l’ensemble des infractions commises par l’intimée commandait une peine globale d’emprisonnement au moins égale ou supérieure aux peines minimales d’un an prévues aux articles 163.1(4)a), 163.1(2), et 163.1(3) </w:t>
      </w:r>
      <w:r w:rsidRPr="00BF1818">
        <w:rPr>
          <w:rFonts w:cs="Arial"/>
          <w:i/>
          <w:iCs/>
          <w:sz w:val="22"/>
          <w:szCs w:val="22"/>
        </w:rPr>
        <w:t>C.cr</w:t>
      </w:r>
      <w:r w:rsidRPr="00BF1818">
        <w:rPr>
          <w:rFonts w:cs="Arial"/>
          <w:sz w:val="22"/>
          <w:szCs w:val="22"/>
        </w:rPr>
        <w:t>., et rien ne permettait à la juge de première instance de s’en écarter et de ne pas suivre la volonté du Parlement.</w:t>
      </w:r>
      <w:r w:rsidRPr="00BF1818">
        <w:rPr>
          <w:rStyle w:val="Appelnotedebasdep"/>
          <w:rFonts w:cs="Arial"/>
          <w:sz w:val="22"/>
          <w:szCs w:val="22"/>
        </w:rPr>
        <w:footnoteReference w:id="5"/>
      </w:r>
    </w:p>
    <w:p w14:paraId="76096DEB" w14:textId="77777777" w:rsidR="005C67B6" w:rsidRPr="00EB28CD" w:rsidRDefault="005C67B6" w:rsidP="005C67B6">
      <w:pPr>
        <w:pStyle w:val="Paragraphe"/>
        <w:spacing w:line="240" w:lineRule="auto"/>
        <w:rPr>
          <w:rFonts w:cs="Arial"/>
          <w:szCs w:val="24"/>
        </w:rPr>
      </w:pPr>
      <w:r w:rsidRPr="00377607">
        <w:rPr>
          <w:rFonts w:cs="Arial"/>
          <w:szCs w:val="24"/>
        </w:rPr>
        <w:t>La Cour doit décider si les peines minimales obligatoires prévues pour les infractions de production et de distribution de pornographie juvénile sont valides sur le plan constitutionnel au regard des articles</w:t>
      </w:r>
      <w:r>
        <w:rPr>
          <w:rFonts w:cs="Arial"/>
          <w:szCs w:val="24"/>
        </w:rPr>
        <w:t> </w:t>
      </w:r>
      <w:r w:rsidRPr="00377607">
        <w:rPr>
          <w:rFonts w:cs="Arial"/>
          <w:szCs w:val="24"/>
        </w:rPr>
        <w:t xml:space="preserve">12 et 52 de la </w:t>
      </w:r>
      <w:r w:rsidRPr="00377607">
        <w:rPr>
          <w:rFonts w:cs="Arial"/>
          <w:i/>
          <w:iCs/>
          <w:szCs w:val="24"/>
        </w:rPr>
        <w:t>Charte</w:t>
      </w:r>
      <w:r w:rsidRPr="00377607">
        <w:rPr>
          <w:rFonts w:cs="Arial"/>
          <w:szCs w:val="24"/>
        </w:rPr>
        <w:t xml:space="preserve"> et si les peines infligées en l</w:t>
      </w:r>
      <w:r>
        <w:rPr>
          <w:rFonts w:cs="Arial"/>
          <w:szCs w:val="24"/>
        </w:rPr>
        <w:t>’</w:t>
      </w:r>
      <w:r w:rsidRPr="00377607">
        <w:rPr>
          <w:rFonts w:cs="Arial"/>
          <w:szCs w:val="24"/>
        </w:rPr>
        <w:t xml:space="preserve">espèce pour production, distribution et possession </w:t>
      </w:r>
      <w:r>
        <w:rPr>
          <w:rFonts w:cs="Arial"/>
          <w:szCs w:val="24"/>
        </w:rPr>
        <w:t xml:space="preserve">de </w:t>
      </w:r>
      <w:r w:rsidRPr="00540D62">
        <w:rPr>
          <w:rFonts w:cs="Arial"/>
          <w:szCs w:val="24"/>
        </w:rPr>
        <w:t>pornographie juvénile</w:t>
      </w:r>
      <w:r>
        <w:rPr>
          <w:rFonts w:cs="Arial"/>
          <w:szCs w:val="24"/>
        </w:rPr>
        <w:t xml:space="preserve"> </w:t>
      </w:r>
      <w:r w:rsidRPr="00377607">
        <w:rPr>
          <w:rFonts w:cs="Arial"/>
          <w:szCs w:val="24"/>
        </w:rPr>
        <w:t>sont justes.</w:t>
      </w:r>
    </w:p>
    <w:p w14:paraId="62CAD691" w14:textId="77777777" w:rsidR="005C67B6" w:rsidRPr="00BE3AA7" w:rsidRDefault="005C67B6" w:rsidP="005C67B6">
      <w:pPr>
        <w:pStyle w:val="Paragraphe"/>
        <w:spacing w:line="240" w:lineRule="auto"/>
        <w:rPr>
          <w:rFonts w:cs="Arial"/>
          <w:szCs w:val="24"/>
        </w:rPr>
      </w:pPr>
      <w:r w:rsidRPr="00377607">
        <w:rPr>
          <w:rFonts w:cs="Arial"/>
          <w:szCs w:val="24"/>
        </w:rPr>
        <w:t>Je rappellerai premièrement le contexte factuel. Deuxièmement, j</w:t>
      </w:r>
      <w:r>
        <w:rPr>
          <w:rFonts w:cs="Arial"/>
          <w:szCs w:val="24"/>
        </w:rPr>
        <w:t xml:space="preserve">e me pencherai sur la question de la </w:t>
      </w:r>
      <w:r w:rsidRPr="00377607">
        <w:rPr>
          <w:rFonts w:cs="Arial"/>
          <w:szCs w:val="24"/>
        </w:rPr>
        <w:t>qualité pour agir du PGQ. Troisièmement, j</w:t>
      </w:r>
      <w:r>
        <w:rPr>
          <w:rFonts w:cs="Arial"/>
          <w:szCs w:val="24"/>
        </w:rPr>
        <w:t>’</w:t>
      </w:r>
      <w:r w:rsidRPr="00377607">
        <w:rPr>
          <w:rFonts w:cs="Arial"/>
          <w:szCs w:val="24"/>
        </w:rPr>
        <w:t>examinerai la validité des peines minimales obligatoires en litige. Quatrièmement, j</w:t>
      </w:r>
      <w:r>
        <w:rPr>
          <w:rFonts w:cs="Arial"/>
          <w:szCs w:val="24"/>
        </w:rPr>
        <w:t>’</w:t>
      </w:r>
      <w:r w:rsidRPr="00377607">
        <w:rPr>
          <w:rFonts w:cs="Arial"/>
          <w:szCs w:val="24"/>
        </w:rPr>
        <w:t xml:space="preserve">évaluerai si les peines infligées sont justes. </w:t>
      </w:r>
    </w:p>
    <w:p w14:paraId="1A965ECE" w14:textId="77777777" w:rsidR="005C67B6" w:rsidRPr="00377607" w:rsidRDefault="005C67B6" w:rsidP="005C67B6">
      <w:pPr>
        <w:pStyle w:val="Paragraphe"/>
        <w:numPr>
          <w:ilvl w:val="0"/>
          <w:numId w:val="0"/>
        </w:numPr>
        <w:spacing w:before="240" w:line="240" w:lineRule="auto"/>
        <w:jc w:val="center"/>
        <w:rPr>
          <w:rFonts w:cs="Arial"/>
          <w:b/>
          <w:bCs/>
          <w:szCs w:val="24"/>
        </w:rPr>
      </w:pPr>
      <w:r w:rsidRPr="00377607">
        <w:rPr>
          <w:rFonts w:cs="Arial"/>
          <w:b/>
          <w:bCs/>
          <w:szCs w:val="24"/>
        </w:rPr>
        <w:t>II</w:t>
      </w:r>
    </w:p>
    <w:p w14:paraId="15BFCE6B" w14:textId="77777777" w:rsidR="005C67B6" w:rsidRPr="00377607" w:rsidRDefault="005C67B6" w:rsidP="005C67B6">
      <w:pPr>
        <w:pStyle w:val="Paragraphe"/>
        <w:numPr>
          <w:ilvl w:val="0"/>
          <w:numId w:val="0"/>
        </w:numPr>
        <w:spacing w:before="0" w:after="240" w:line="240" w:lineRule="auto"/>
        <w:jc w:val="center"/>
        <w:rPr>
          <w:rFonts w:cs="Arial"/>
          <w:b/>
          <w:bCs/>
          <w:szCs w:val="24"/>
        </w:rPr>
      </w:pPr>
      <w:r w:rsidRPr="00377607">
        <w:rPr>
          <w:rFonts w:cs="Arial"/>
          <w:b/>
          <w:bCs/>
          <w:szCs w:val="24"/>
        </w:rPr>
        <w:t>Les faits</w:t>
      </w:r>
    </w:p>
    <w:p w14:paraId="7A5EA094" w14:textId="77777777" w:rsidR="005C67B6" w:rsidRPr="00EB28CD" w:rsidRDefault="005C67B6" w:rsidP="005C67B6">
      <w:pPr>
        <w:pStyle w:val="Paragraphe"/>
        <w:spacing w:line="240" w:lineRule="auto"/>
        <w:rPr>
          <w:rFonts w:cs="Arial"/>
          <w:szCs w:val="24"/>
        </w:rPr>
      </w:pPr>
      <w:r w:rsidRPr="00377607">
        <w:rPr>
          <w:rFonts w:cs="Arial"/>
          <w:szCs w:val="24"/>
        </w:rPr>
        <w:t xml:space="preserve">La juge chargée de la détermination de la peine a présenté </w:t>
      </w:r>
      <w:r>
        <w:rPr>
          <w:rFonts w:cs="Arial"/>
          <w:szCs w:val="24"/>
        </w:rPr>
        <w:t>le</w:t>
      </w:r>
      <w:r w:rsidRPr="00377607">
        <w:rPr>
          <w:rFonts w:cs="Arial"/>
          <w:szCs w:val="24"/>
        </w:rPr>
        <w:t xml:space="preserve"> résumé des faits suivant et celui-</w:t>
      </w:r>
      <w:r>
        <w:rPr>
          <w:rFonts w:cs="Arial"/>
          <w:szCs w:val="24"/>
        </w:rPr>
        <w:t>c</w:t>
      </w:r>
      <w:r w:rsidRPr="00377607">
        <w:rPr>
          <w:rFonts w:cs="Arial"/>
          <w:szCs w:val="24"/>
        </w:rPr>
        <w:t>i n</w:t>
      </w:r>
      <w:r>
        <w:rPr>
          <w:rFonts w:cs="Arial"/>
          <w:szCs w:val="24"/>
        </w:rPr>
        <w:t>’</w:t>
      </w:r>
      <w:r w:rsidRPr="00377607">
        <w:rPr>
          <w:rFonts w:cs="Arial"/>
          <w:szCs w:val="24"/>
        </w:rPr>
        <w:t xml:space="preserve">est pas contesté. </w:t>
      </w:r>
    </w:p>
    <w:p w14:paraId="1B43596F" w14:textId="77777777" w:rsidR="005C67B6" w:rsidRPr="00BF1818" w:rsidRDefault="005C67B6" w:rsidP="005C67B6">
      <w:pPr>
        <w:pStyle w:val="Citationenretrait"/>
        <w:spacing w:line="240" w:lineRule="auto"/>
        <w:rPr>
          <w:rFonts w:cs="Arial"/>
          <w:szCs w:val="22"/>
        </w:rPr>
      </w:pPr>
      <w:r w:rsidRPr="00BF1818">
        <w:rPr>
          <w:rFonts w:cs="Arial"/>
          <w:szCs w:val="22"/>
        </w:rPr>
        <w:t>[3]</w:t>
      </w:r>
      <w:r w:rsidRPr="00BF1818">
        <w:rPr>
          <w:rFonts w:cs="Arial"/>
          <w:szCs w:val="22"/>
        </w:rPr>
        <w:tab/>
        <w:t>L’accusée âgée de 54 ans, sans passé criminel, travaillant dans le secteur de la santé, mère exemplaire de trois filles adultes et aujourd’hui grand-mère s’est reconnue coupable d’avoir, entre les 20 et 28 mai 2019, commis trois actes criminels, soit d’avoir produit, transmis et possédé de la pornographie juvénile.</w:t>
      </w:r>
    </w:p>
    <w:p w14:paraId="01CAC0FC" w14:textId="77777777" w:rsidR="005C67B6" w:rsidRPr="00BF1818" w:rsidRDefault="005C67B6" w:rsidP="005C67B6">
      <w:pPr>
        <w:pStyle w:val="Citationenretrait"/>
        <w:spacing w:line="240" w:lineRule="auto"/>
        <w:rPr>
          <w:rFonts w:cs="Arial"/>
          <w:szCs w:val="22"/>
        </w:rPr>
      </w:pPr>
      <w:r w:rsidRPr="00BF1818">
        <w:rPr>
          <w:rFonts w:cs="Arial"/>
          <w:szCs w:val="22"/>
        </w:rPr>
        <w:t>[4]</w:t>
      </w:r>
      <w:r w:rsidRPr="00BF1818">
        <w:rPr>
          <w:rFonts w:cs="Arial"/>
          <w:szCs w:val="22"/>
        </w:rPr>
        <w:tab/>
        <w:t xml:space="preserve">Au cours de l’année 2019, elle traverse une période troublante qui affecte plusieurs sphères de sa vie jusqu’alors exemplaire. Elle intègre un réseau de rencontres virtuelles et échange ses fantasmes pédophiliques sordides avec son complice (coaccusé) Jean-François Allard. Au cours de la semaine qui suit, elle lui transmet 10 photos pédopornographiques. La saisie de son téléphone permet de retrouver une vingtaine de photos de jeunes filles et garçons âgés entre 5 à 16 ans en position suggestive incluant des fellations jusqu’à éjaculation. </w:t>
      </w:r>
    </w:p>
    <w:p w14:paraId="5A5A25DD" w14:textId="77777777" w:rsidR="005C67B6" w:rsidRPr="00BF1818" w:rsidRDefault="005C67B6" w:rsidP="005C67B6">
      <w:pPr>
        <w:pStyle w:val="Citationenretrait"/>
        <w:spacing w:line="240" w:lineRule="auto"/>
        <w:rPr>
          <w:rFonts w:cs="Arial"/>
          <w:szCs w:val="22"/>
        </w:rPr>
      </w:pPr>
      <w:r w:rsidRPr="00BF1818">
        <w:rPr>
          <w:rFonts w:cs="Arial"/>
          <w:szCs w:val="22"/>
        </w:rPr>
        <w:t>[…]</w:t>
      </w:r>
    </w:p>
    <w:p w14:paraId="4F6B7078" w14:textId="77777777" w:rsidR="005C67B6" w:rsidRPr="00BF1818" w:rsidRDefault="005C67B6" w:rsidP="005C67B6">
      <w:pPr>
        <w:pStyle w:val="Citationenretrait"/>
        <w:spacing w:line="240" w:lineRule="auto"/>
        <w:rPr>
          <w:rFonts w:cs="Arial"/>
          <w:szCs w:val="22"/>
        </w:rPr>
      </w:pPr>
      <w:r w:rsidRPr="00BF1818">
        <w:rPr>
          <w:rFonts w:cs="Arial"/>
          <w:szCs w:val="22"/>
        </w:rPr>
        <w:t>[12]</w:t>
      </w:r>
      <w:r w:rsidRPr="00BF1818">
        <w:rPr>
          <w:rFonts w:cs="Arial"/>
          <w:szCs w:val="22"/>
        </w:rPr>
        <w:tab/>
        <w:t>L’accusée communique avec trois ou quatre personnes sur le site « Jalf » utilisé par des adultes dits ouverts à la sexualité. Elle partage avec eux des images.</w:t>
      </w:r>
    </w:p>
    <w:p w14:paraId="67C68CA0" w14:textId="77777777" w:rsidR="005C67B6" w:rsidRPr="00BF1818" w:rsidRDefault="005C67B6" w:rsidP="005C67B6">
      <w:pPr>
        <w:pStyle w:val="Citationenretrait"/>
        <w:spacing w:line="240" w:lineRule="auto"/>
        <w:rPr>
          <w:rFonts w:cs="Arial"/>
          <w:szCs w:val="22"/>
        </w:rPr>
      </w:pPr>
      <w:r w:rsidRPr="00BF1818">
        <w:rPr>
          <w:rFonts w:cs="Arial"/>
          <w:szCs w:val="22"/>
        </w:rPr>
        <w:t>[13]</w:t>
      </w:r>
      <w:r w:rsidRPr="00BF1818">
        <w:rPr>
          <w:rFonts w:cs="Arial"/>
          <w:szCs w:val="22"/>
        </w:rPr>
        <w:tab/>
        <w:t xml:space="preserve">Elle fait la connaissance de son complice (coaccusé) Jean-François Allard. Le matin du 20 mai 2019, M. Allard lui demande sa préférence quant à l’âge et le sexe des enfants. Madame répond : « </w:t>
      </w:r>
      <w:r w:rsidRPr="00BF1818">
        <w:rPr>
          <w:rFonts w:cs="Arial"/>
          <w:i/>
          <w:iCs/>
          <w:szCs w:val="22"/>
        </w:rPr>
        <w:t>C’est dans l’ordre du fantasme, je n’ai jamais eu de relation avec des jeunes</w:t>
      </w:r>
      <w:r w:rsidRPr="00BF1818">
        <w:rPr>
          <w:rFonts w:cs="Arial"/>
          <w:szCs w:val="22"/>
        </w:rPr>
        <w:t>. » "</w:t>
      </w:r>
    </w:p>
    <w:p w14:paraId="470DB895" w14:textId="77777777" w:rsidR="005C67B6" w:rsidRPr="00BF1818" w:rsidRDefault="005C67B6" w:rsidP="005C67B6">
      <w:pPr>
        <w:pStyle w:val="Citationenretrait"/>
        <w:spacing w:line="240" w:lineRule="auto"/>
        <w:rPr>
          <w:rFonts w:cs="Arial"/>
          <w:szCs w:val="22"/>
        </w:rPr>
      </w:pPr>
      <w:r w:rsidRPr="00BF1818">
        <w:rPr>
          <w:rFonts w:cs="Arial"/>
          <w:szCs w:val="22"/>
        </w:rPr>
        <w:t>[14]</w:t>
      </w:r>
      <w:r w:rsidRPr="00BF1818">
        <w:rPr>
          <w:rFonts w:cs="Arial"/>
          <w:szCs w:val="22"/>
        </w:rPr>
        <w:tab/>
        <w:t xml:space="preserve">Dans les minutes qui suivent, elle lui transmet trois photos de pédopornographie. En fin de soirée M. Allard précise ne pas les avoir reçues. Elle lui explique la façon de les regarder en « mode secret » ce qui ne semble pas fonctionner. Elle reprend l’envoi de neuf photos en « mode normal ». </w:t>
      </w:r>
    </w:p>
    <w:p w14:paraId="746EF987" w14:textId="77777777" w:rsidR="005C67B6" w:rsidRPr="00BF1818" w:rsidRDefault="005C67B6" w:rsidP="005C67B6">
      <w:pPr>
        <w:pStyle w:val="Citationenretrait"/>
        <w:spacing w:line="240" w:lineRule="auto"/>
        <w:rPr>
          <w:rFonts w:cs="Arial"/>
          <w:szCs w:val="22"/>
        </w:rPr>
      </w:pPr>
      <w:r w:rsidRPr="00BF1818">
        <w:rPr>
          <w:rFonts w:cs="Arial"/>
          <w:szCs w:val="22"/>
        </w:rPr>
        <w:t>[15]</w:t>
      </w:r>
      <w:r w:rsidRPr="00BF1818">
        <w:rPr>
          <w:rFonts w:cs="Arial"/>
          <w:szCs w:val="22"/>
        </w:rPr>
        <w:tab/>
        <w:t>Les échanges entre eux s’échelonnent sur une période de sept jours. Leurs écrits portent sur leurs désirs envers les enfants et adolescent(e)s, de séquestration, de violence, de blessure anale, de tourisme sexuel, de scatophilie et de zoophilie. Ils partagent dans les moindres détails leurs perversions et décrivent la façon qu’ils réaliseraient leurs fantasmes s’ils se voyaient.</w:t>
      </w:r>
    </w:p>
    <w:p w14:paraId="6067A23B" w14:textId="77777777" w:rsidR="005C67B6" w:rsidRPr="00BF1818" w:rsidRDefault="005C67B6" w:rsidP="005C67B6">
      <w:pPr>
        <w:pStyle w:val="Citationenretrait"/>
        <w:spacing w:line="240" w:lineRule="auto"/>
        <w:rPr>
          <w:rFonts w:cs="Arial"/>
          <w:szCs w:val="22"/>
        </w:rPr>
      </w:pPr>
      <w:r w:rsidRPr="00BF1818">
        <w:rPr>
          <w:rFonts w:cs="Arial"/>
          <w:szCs w:val="22"/>
        </w:rPr>
        <w:t>[16]</w:t>
      </w:r>
      <w:r w:rsidRPr="00BF1818">
        <w:rPr>
          <w:rFonts w:cs="Arial"/>
          <w:szCs w:val="22"/>
        </w:rPr>
        <w:tab/>
        <w:t>L’accusée jalouse le fait que M. Allard possède des vidéos présentant des enfants âgés entre 5 à 12 ans.  Dans cette conversation, elle écrit : « </w:t>
      </w:r>
      <w:r w:rsidRPr="00BF1818">
        <w:rPr>
          <w:rFonts w:cs="Arial"/>
          <w:i/>
          <w:iCs/>
          <w:szCs w:val="22"/>
        </w:rPr>
        <w:t>Oui et non…à cause de mes filles…Mais ça m’excite</w:t>
      </w:r>
      <w:r w:rsidRPr="00BF1818">
        <w:rPr>
          <w:rFonts w:cs="Arial"/>
          <w:szCs w:val="22"/>
        </w:rPr>
        <w:t xml:space="preserve"> ». Un peu plus loin, elle ajoute qu’elle aime l’idée « </w:t>
      </w:r>
      <w:r w:rsidRPr="00BF1818">
        <w:rPr>
          <w:rFonts w:cs="Arial"/>
          <w:i/>
          <w:iCs/>
          <w:szCs w:val="22"/>
        </w:rPr>
        <w:t>qu’il mette une petite enceinte </w:t>
      </w:r>
      <w:r w:rsidRPr="00BF1818">
        <w:rPr>
          <w:rFonts w:cs="Arial"/>
          <w:szCs w:val="22"/>
        </w:rPr>
        <w:t>».</w:t>
      </w:r>
    </w:p>
    <w:p w14:paraId="02C7AABF" w14:textId="77777777" w:rsidR="005C67B6" w:rsidRPr="00BF1818" w:rsidRDefault="005C67B6" w:rsidP="005C67B6">
      <w:pPr>
        <w:pStyle w:val="Citationenretrait"/>
        <w:spacing w:line="240" w:lineRule="auto"/>
        <w:rPr>
          <w:rFonts w:cs="Arial"/>
          <w:szCs w:val="22"/>
        </w:rPr>
      </w:pPr>
      <w:r w:rsidRPr="00BF1818">
        <w:rPr>
          <w:rFonts w:cs="Arial"/>
          <w:szCs w:val="22"/>
        </w:rPr>
        <w:t>[17]</w:t>
      </w:r>
      <w:r w:rsidRPr="00BF1818">
        <w:rPr>
          <w:rFonts w:cs="Arial"/>
          <w:szCs w:val="22"/>
        </w:rPr>
        <w:tab/>
        <w:t xml:space="preserve">Quelques jours plus tard, elle mentionne avoir regardé d’autres photos et lui en transmet une. M. Allard lui en expédie à son tour. Ils poursuivent leurs échanges. Lors de l’un d’eux, l’accusée révèle aimer les garçons, mais elle tiendrait une petite pendant que M. Allard la sodomise. </w:t>
      </w:r>
    </w:p>
    <w:p w14:paraId="40EE17C9" w14:textId="77777777" w:rsidR="005C67B6" w:rsidRPr="00BF1818" w:rsidRDefault="005C67B6" w:rsidP="005C67B6">
      <w:pPr>
        <w:pStyle w:val="Citationenretrait"/>
        <w:spacing w:line="240" w:lineRule="auto"/>
        <w:rPr>
          <w:rFonts w:cs="Arial"/>
          <w:szCs w:val="22"/>
        </w:rPr>
      </w:pPr>
      <w:r w:rsidRPr="00BF1818">
        <w:rPr>
          <w:rFonts w:cs="Arial"/>
          <w:szCs w:val="22"/>
        </w:rPr>
        <w:t>[18]</w:t>
      </w:r>
      <w:r w:rsidRPr="00BF1818">
        <w:rPr>
          <w:rFonts w:cs="Arial"/>
          <w:szCs w:val="22"/>
        </w:rPr>
        <w:tab/>
        <w:t>Elle écrit être consciente que ce qu’ils font « peut foutre une vie en l’air » et avoir peur, mais ajoute que les jeunes l’excitent. Il lui semble acceptable que ça demeure dans l’ordre du fantasme sans passer à l’acte.</w:t>
      </w:r>
    </w:p>
    <w:p w14:paraId="09134EEB" w14:textId="77777777" w:rsidR="005C67B6" w:rsidRPr="00BF1818" w:rsidRDefault="005C67B6" w:rsidP="005C67B6">
      <w:pPr>
        <w:pStyle w:val="Citationenretrait"/>
        <w:spacing w:line="240" w:lineRule="auto"/>
        <w:rPr>
          <w:rFonts w:cs="Arial"/>
          <w:szCs w:val="22"/>
        </w:rPr>
      </w:pPr>
      <w:r w:rsidRPr="00BF1818">
        <w:rPr>
          <w:rFonts w:cs="Arial"/>
          <w:szCs w:val="22"/>
        </w:rPr>
        <w:t>[19]</w:t>
      </w:r>
      <w:r w:rsidRPr="00BF1818">
        <w:rPr>
          <w:rFonts w:cs="Arial"/>
          <w:szCs w:val="22"/>
        </w:rPr>
        <w:tab/>
        <w:t>Elle est arrêtée en octobre 2019. Une saisie a permis de retrouver plus d’une vingtaine de photos pédopornographiques dont des jeunes filles et garçons âgés entre 5 à 16 ans en position suggestive, incluant des fellations jusqu’à éjaculation.</w:t>
      </w:r>
    </w:p>
    <w:p w14:paraId="44C75022" w14:textId="77777777" w:rsidR="005C67B6" w:rsidRPr="00BF1818" w:rsidRDefault="005C67B6" w:rsidP="005C67B6">
      <w:pPr>
        <w:pStyle w:val="Citationenretrait"/>
        <w:spacing w:line="240" w:lineRule="auto"/>
        <w:rPr>
          <w:rFonts w:cs="Arial"/>
          <w:szCs w:val="22"/>
        </w:rPr>
      </w:pPr>
      <w:r w:rsidRPr="00BF1818">
        <w:rPr>
          <w:rFonts w:cs="Arial"/>
          <w:szCs w:val="22"/>
        </w:rPr>
        <w:t>[20]</w:t>
      </w:r>
      <w:r w:rsidRPr="00BF1818">
        <w:rPr>
          <w:rFonts w:cs="Arial"/>
          <w:szCs w:val="22"/>
        </w:rPr>
        <w:tab/>
        <w:t>Interrogée par les policiers elle reconnaît les faits.</w:t>
      </w:r>
    </w:p>
    <w:p w14:paraId="2D59FC1F" w14:textId="77777777" w:rsidR="005C67B6" w:rsidRPr="00BF1818" w:rsidRDefault="005C67B6" w:rsidP="00DE01FB">
      <w:pPr>
        <w:pStyle w:val="Citationenretrait"/>
        <w:spacing w:after="240" w:line="240" w:lineRule="auto"/>
        <w:jc w:val="right"/>
        <w:rPr>
          <w:rFonts w:cs="Arial"/>
          <w:szCs w:val="22"/>
        </w:rPr>
      </w:pPr>
      <w:r w:rsidRPr="00BF1818">
        <w:rPr>
          <w:rFonts w:cs="Arial"/>
          <w:szCs w:val="22"/>
        </w:rPr>
        <w:t>[Renvois omis]</w:t>
      </w:r>
    </w:p>
    <w:p w14:paraId="702A0DF2" w14:textId="77777777" w:rsidR="005C67B6" w:rsidRPr="00EB28CD" w:rsidRDefault="005C67B6" w:rsidP="005C67B6">
      <w:pPr>
        <w:pStyle w:val="Paragraphe"/>
        <w:spacing w:line="240" w:lineRule="auto"/>
        <w:rPr>
          <w:rFonts w:cs="Arial"/>
          <w:szCs w:val="24"/>
        </w:rPr>
      </w:pPr>
      <w:r w:rsidRPr="00377607">
        <w:rPr>
          <w:rFonts w:cs="Arial"/>
          <w:szCs w:val="24"/>
        </w:rPr>
        <w:t>Le DPCP présente le même résumé</w:t>
      </w:r>
      <w:r>
        <w:rPr>
          <w:rFonts w:cs="Arial"/>
          <w:szCs w:val="24"/>
        </w:rPr>
        <w:t>,</w:t>
      </w:r>
      <w:r w:rsidRPr="00377607">
        <w:rPr>
          <w:rFonts w:cs="Arial"/>
          <w:szCs w:val="24"/>
        </w:rPr>
        <w:t xml:space="preserve"> mais</w:t>
      </w:r>
      <w:r>
        <w:rPr>
          <w:rFonts w:cs="Arial"/>
          <w:szCs w:val="24"/>
        </w:rPr>
        <w:t xml:space="preserve"> apporte quelques précisions. </w:t>
      </w:r>
      <w:r w:rsidRPr="00377607">
        <w:rPr>
          <w:rFonts w:cs="Arial"/>
          <w:szCs w:val="24"/>
        </w:rPr>
        <w:t xml:space="preserve">  </w:t>
      </w:r>
    </w:p>
    <w:p w14:paraId="1865F135" w14:textId="77777777" w:rsidR="005C67B6" w:rsidRPr="00BF1818" w:rsidRDefault="005C67B6" w:rsidP="005C67B6">
      <w:pPr>
        <w:pStyle w:val="Citationenretrait"/>
        <w:spacing w:line="240" w:lineRule="auto"/>
        <w:rPr>
          <w:rFonts w:cs="Arial"/>
          <w:szCs w:val="22"/>
        </w:rPr>
      </w:pPr>
      <w:r w:rsidRPr="00BF1818">
        <w:rPr>
          <w:rFonts w:cs="Arial"/>
          <w:szCs w:val="22"/>
        </w:rPr>
        <w:t>[1]</w:t>
      </w:r>
      <w:r w:rsidRPr="00BF1818">
        <w:rPr>
          <w:rFonts w:cs="Arial"/>
          <w:szCs w:val="22"/>
        </w:rPr>
        <w:tab/>
        <w:t xml:space="preserve">Alors qu’elle traverse une période difficile de sa vie, l’intimée se prête aux fantasmes sexuels de nombreux interlocuteurs sur un site de rencontres spécialisé (JALF). Elle échange des propos de nature pédophilique avec l’un d’entre eux, dénommé « Affamé », qui lui indique que son ami, qui s’avèrera être M. Allard, va la contacter. </w:t>
      </w:r>
    </w:p>
    <w:p w14:paraId="19E32E23" w14:textId="77777777" w:rsidR="005C67B6" w:rsidRPr="00BF1818" w:rsidRDefault="005C67B6" w:rsidP="005C67B6">
      <w:pPr>
        <w:pStyle w:val="Citationenretrait"/>
        <w:spacing w:line="240" w:lineRule="auto"/>
        <w:rPr>
          <w:rFonts w:cs="Arial"/>
          <w:szCs w:val="22"/>
        </w:rPr>
      </w:pPr>
      <w:r w:rsidRPr="00BF1818">
        <w:rPr>
          <w:rFonts w:cs="Arial"/>
          <w:szCs w:val="22"/>
        </w:rPr>
        <w:t>[2]</w:t>
      </w:r>
      <w:r w:rsidRPr="00BF1818">
        <w:rPr>
          <w:rFonts w:cs="Arial"/>
          <w:szCs w:val="22"/>
        </w:rPr>
        <w:tab/>
        <w:t>C’est ce que fait M. Allard dans la nuit du 20 au 21 mai 2019.  La conversation débute lorsque M. Allard interroge l’intimée sur ses préférences sexuelles (sexe et âge). L’intimée répond alors « C’est dans l’ordre du fantasme, je n’ai jamais eu de relation avec des jeunes » et envoie trois photos d’adolescents nus.  Dès les premiers échanges avec M. Allard, l’intimée lui demande de passer en « mode secret » puisque « c’est plus prudent quand on parle de certaines choses », lui affirme qu’elle « aime les jeunes ados » et lui répète qu’elle a « hâte de parler de perversité ».</w:t>
      </w:r>
    </w:p>
    <w:p w14:paraId="3B6DAAD0" w14:textId="77777777" w:rsidR="005C67B6" w:rsidRPr="00BF1818" w:rsidRDefault="005C67B6" w:rsidP="005C67B6">
      <w:pPr>
        <w:pStyle w:val="Citationenretrait"/>
        <w:spacing w:line="240" w:lineRule="auto"/>
        <w:rPr>
          <w:rFonts w:cs="Arial"/>
          <w:szCs w:val="22"/>
        </w:rPr>
      </w:pPr>
      <w:r w:rsidRPr="00BF1818">
        <w:rPr>
          <w:rFonts w:cs="Arial"/>
          <w:szCs w:val="22"/>
        </w:rPr>
        <w:t>[3]</w:t>
      </w:r>
      <w:r w:rsidRPr="00BF1818">
        <w:rPr>
          <w:rFonts w:cs="Arial"/>
          <w:szCs w:val="22"/>
        </w:rPr>
        <w:tab/>
        <w:t>Puisque le « mode secret » ne semble pas bien fonctionner, l’intimée et M. Allard passent en « mode normal ». L’intimée s’assure que M. Allard est bien en « mode normal » lui aussi, car elle ne veut pas se « compromettre » seule. Elle envoie alors quatre photos d’adolescentes nues, en précisant que « c’est tellement beau et invitant » et qu’« elles ont pas plus que 15 ans ». Elle enchaîne ensuite avec l’envoi de cinq photos d’adolescents en érection. L’une des photos représente une fellation.</w:t>
      </w:r>
    </w:p>
    <w:p w14:paraId="793ECCF1" w14:textId="77777777" w:rsidR="005C67B6" w:rsidRPr="00BF1818" w:rsidRDefault="005C67B6" w:rsidP="005C67B6">
      <w:pPr>
        <w:pStyle w:val="Citationenretrait"/>
        <w:spacing w:line="240" w:lineRule="auto"/>
        <w:rPr>
          <w:rFonts w:cs="Arial"/>
          <w:szCs w:val="22"/>
        </w:rPr>
      </w:pPr>
      <w:r w:rsidRPr="00BF1818">
        <w:rPr>
          <w:rFonts w:cs="Arial"/>
          <w:szCs w:val="22"/>
        </w:rPr>
        <w:t>[4]</w:t>
      </w:r>
      <w:r w:rsidRPr="00BF1818">
        <w:rPr>
          <w:rFonts w:cs="Arial"/>
          <w:szCs w:val="22"/>
        </w:rPr>
        <w:tab/>
        <w:t>Les deux interlocuteurs décrivent ensuite des scénarios d’abus de confiance et d’agression sexuelles violentes sur des mineures. L’intimée affirme alors, après avoir envoyé une nouvelle photo d’une adolescente nue, qu’elle « se sent mal de regarder des choses comme ça ». Cela ne l’empêche pas de continuer à évoquer des scénarios pédophiliques et d’encourager M. Allard dans ses scénarios de séquestration, d’objectification avilissante et d’agressions sexuelles violentes sur des mineures de 14 ans ou moins M. Allard finit par évoquer des scénarios d’agressions sur des jeunes de 6 à 8 ans, toujours encouragé par l’intimée qui lui dit notamment qu’elle serait très excitée s’il « mettait une petite enceinte ».</w:t>
      </w:r>
    </w:p>
    <w:p w14:paraId="79494284" w14:textId="77777777" w:rsidR="005C67B6" w:rsidRPr="00BF1818" w:rsidRDefault="005C67B6" w:rsidP="005C67B6">
      <w:pPr>
        <w:pStyle w:val="Citationenretrait"/>
        <w:spacing w:line="240" w:lineRule="auto"/>
        <w:rPr>
          <w:rFonts w:cs="Arial"/>
          <w:szCs w:val="22"/>
        </w:rPr>
      </w:pPr>
      <w:r w:rsidRPr="00BF1818">
        <w:rPr>
          <w:rFonts w:cs="Arial"/>
          <w:szCs w:val="22"/>
        </w:rPr>
        <w:t>[5]</w:t>
      </w:r>
      <w:r w:rsidRPr="00BF1818">
        <w:rPr>
          <w:rFonts w:cs="Arial"/>
          <w:szCs w:val="22"/>
        </w:rPr>
        <w:tab/>
        <w:t>Dans la nuit du 24 au 25 mai 2019, l’intimée envoie une nouvelle photo d’adolescents ayant une relation sexuelle à M. Allard ainsi qu’une photo d’une enfant en train de faire une fellation. Les scénarios pédophiliques reprennent. L’intimée affirme notamment : « j’aimerais tenir une petite pendant que tu la défonces ».</w:t>
      </w:r>
    </w:p>
    <w:p w14:paraId="0A89C3A8" w14:textId="77777777" w:rsidR="005C67B6" w:rsidRPr="00BF1818" w:rsidRDefault="005C67B6" w:rsidP="005C67B6">
      <w:pPr>
        <w:pStyle w:val="Citationenretrait"/>
        <w:spacing w:line="240" w:lineRule="auto"/>
        <w:rPr>
          <w:rFonts w:cs="Arial"/>
          <w:szCs w:val="22"/>
        </w:rPr>
      </w:pPr>
      <w:r w:rsidRPr="00BF1818">
        <w:rPr>
          <w:rFonts w:cs="Arial"/>
          <w:szCs w:val="22"/>
        </w:rPr>
        <w:t>[6]</w:t>
      </w:r>
      <w:r w:rsidRPr="00BF1818">
        <w:rPr>
          <w:rFonts w:cs="Arial"/>
          <w:szCs w:val="22"/>
        </w:rPr>
        <w:tab/>
        <w:t>Les interlocuteurs se reparlent brièvement les 27 et 28 mai, mais il n’est pas question de pornographie juvénile ni de pédophilie.</w:t>
      </w:r>
    </w:p>
    <w:p w14:paraId="6223C7B1" w14:textId="77777777" w:rsidR="005C67B6" w:rsidRDefault="005C67B6" w:rsidP="005C67B6">
      <w:pPr>
        <w:pStyle w:val="Citationenretrait"/>
        <w:spacing w:after="240" w:line="240" w:lineRule="auto"/>
        <w:jc w:val="right"/>
        <w:rPr>
          <w:rFonts w:cs="Arial"/>
          <w:szCs w:val="22"/>
        </w:rPr>
      </w:pPr>
      <w:r w:rsidRPr="00BF1818">
        <w:rPr>
          <w:rFonts w:cs="Arial"/>
          <w:szCs w:val="22"/>
        </w:rPr>
        <w:t>[Exposé de la partie appelante; renvois omis]</w:t>
      </w:r>
    </w:p>
    <w:p w14:paraId="7E66B78F" w14:textId="77777777" w:rsidR="00DE01FB" w:rsidRDefault="00DE01FB" w:rsidP="005C67B6">
      <w:pPr>
        <w:pStyle w:val="Citationenretrait"/>
        <w:spacing w:after="240" w:line="240" w:lineRule="auto"/>
        <w:jc w:val="right"/>
        <w:rPr>
          <w:rFonts w:cs="Arial"/>
          <w:szCs w:val="22"/>
        </w:rPr>
      </w:pPr>
    </w:p>
    <w:p w14:paraId="31137E9F" w14:textId="77777777" w:rsidR="00DE01FB" w:rsidRPr="00BF1818" w:rsidRDefault="00DE01FB" w:rsidP="005C67B6">
      <w:pPr>
        <w:pStyle w:val="Citationenretrait"/>
        <w:spacing w:after="240" w:line="240" w:lineRule="auto"/>
        <w:jc w:val="right"/>
        <w:rPr>
          <w:rFonts w:cs="Arial"/>
          <w:szCs w:val="22"/>
        </w:rPr>
      </w:pPr>
    </w:p>
    <w:p w14:paraId="11B0ABF8" w14:textId="77777777" w:rsidR="005C67B6" w:rsidRPr="00EB28CD" w:rsidRDefault="005C67B6" w:rsidP="005C67B6">
      <w:pPr>
        <w:pStyle w:val="Paragraphe"/>
        <w:numPr>
          <w:ilvl w:val="0"/>
          <w:numId w:val="0"/>
        </w:numPr>
        <w:spacing w:before="240" w:after="0" w:line="240" w:lineRule="auto"/>
        <w:jc w:val="center"/>
        <w:rPr>
          <w:rFonts w:cs="Arial"/>
          <w:b/>
          <w:bCs/>
          <w:szCs w:val="24"/>
        </w:rPr>
      </w:pPr>
      <w:r w:rsidRPr="00377607">
        <w:rPr>
          <w:rFonts w:cs="Arial"/>
          <w:b/>
          <w:bCs/>
          <w:szCs w:val="24"/>
        </w:rPr>
        <w:t>III</w:t>
      </w:r>
    </w:p>
    <w:p w14:paraId="41C1F454" w14:textId="77777777" w:rsidR="005C67B6" w:rsidRPr="00EB28CD" w:rsidRDefault="005C67B6" w:rsidP="005C67B6">
      <w:pPr>
        <w:pStyle w:val="Paragraphe"/>
        <w:numPr>
          <w:ilvl w:val="0"/>
          <w:numId w:val="0"/>
        </w:numPr>
        <w:spacing w:before="0" w:after="240" w:line="240" w:lineRule="auto"/>
        <w:jc w:val="center"/>
        <w:rPr>
          <w:rFonts w:cs="Arial"/>
          <w:b/>
          <w:bCs/>
          <w:szCs w:val="24"/>
        </w:rPr>
      </w:pPr>
      <w:r w:rsidRPr="00377607">
        <w:rPr>
          <w:rFonts w:cs="Arial"/>
          <w:b/>
          <w:bCs/>
          <w:szCs w:val="24"/>
        </w:rPr>
        <w:t>Qualité pour agir du procureur général</w:t>
      </w:r>
    </w:p>
    <w:p w14:paraId="48C70CF0" w14:textId="77777777" w:rsidR="005C67B6" w:rsidRPr="00EB28CD" w:rsidRDefault="005C67B6" w:rsidP="005C67B6">
      <w:pPr>
        <w:pStyle w:val="Paragraphe"/>
        <w:spacing w:line="240" w:lineRule="auto"/>
        <w:rPr>
          <w:rFonts w:cs="Arial"/>
          <w:szCs w:val="24"/>
        </w:rPr>
      </w:pPr>
      <w:r w:rsidRPr="00377607">
        <w:rPr>
          <w:rFonts w:cs="Arial"/>
          <w:szCs w:val="24"/>
        </w:rPr>
        <w:t>L</w:t>
      </w:r>
      <w:r>
        <w:rPr>
          <w:rFonts w:cs="Arial"/>
          <w:szCs w:val="24"/>
        </w:rPr>
        <w:t>’</w:t>
      </w:r>
      <w:r w:rsidRPr="00377607">
        <w:rPr>
          <w:rFonts w:cs="Arial"/>
          <w:szCs w:val="24"/>
        </w:rPr>
        <w:t xml:space="preserve">alinéa 676(1)d) </w:t>
      </w:r>
      <w:r w:rsidRPr="00377607">
        <w:rPr>
          <w:rFonts w:cs="Arial"/>
          <w:i/>
          <w:iCs/>
          <w:szCs w:val="24"/>
        </w:rPr>
        <w:t>C.cr</w:t>
      </w:r>
      <w:r w:rsidRPr="00377607">
        <w:rPr>
          <w:rFonts w:cs="Arial"/>
          <w:szCs w:val="24"/>
        </w:rPr>
        <w:t>. autorise le « procureur général » à porter en appel une peine, ce qui inclut toute déclaration selon laquelle une peine minimale est inopérante ou invalide.</w:t>
      </w:r>
    </w:p>
    <w:p w14:paraId="17482589" w14:textId="77777777" w:rsidR="005C67B6" w:rsidRPr="008272C1" w:rsidRDefault="005C67B6" w:rsidP="005C67B6">
      <w:pPr>
        <w:pStyle w:val="Paragraphe"/>
        <w:spacing w:line="240" w:lineRule="auto"/>
        <w:rPr>
          <w:rFonts w:cs="Arial"/>
          <w:szCs w:val="24"/>
        </w:rPr>
      </w:pPr>
      <w:r w:rsidRPr="00377607">
        <w:rPr>
          <w:rFonts w:cs="Arial"/>
          <w:szCs w:val="24"/>
        </w:rPr>
        <w:t>Qui est le procureur général? Plus précisément, est-ce que le pouvoir du DPCP d</w:t>
      </w:r>
      <w:r>
        <w:rPr>
          <w:rFonts w:cs="Arial"/>
          <w:szCs w:val="24"/>
        </w:rPr>
        <w:t>’engag</w:t>
      </w:r>
      <w:r w:rsidRPr="00377607">
        <w:rPr>
          <w:rFonts w:cs="Arial"/>
          <w:szCs w:val="24"/>
        </w:rPr>
        <w:t>er</w:t>
      </w:r>
      <w:r>
        <w:rPr>
          <w:rFonts w:cs="Arial"/>
          <w:szCs w:val="24"/>
        </w:rPr>
        <w:t xml:space="preserve"> un</w:t>
      </w:r>
      <w:r w:rsidRPr="00377607">
        <w:rPr>
          <w:rFonts w:cs="Arial"/>
          <w:szCs w:val="24"/>
        </w:rPr>
        <w:t xml:space="preserve"> appel </w:t>
      </w:r>
      <w:r>
        <w:rPr>
          <w:rFonts w:cs="Arial"/>
          <w:szCs w:val="24"/>
        </w:rPr>
        <w:t>exclut que le</w:t>
      </w:r>
      <w:r w:rsidRPr="00377607">
        <w:rPr>
          <w:rFonts w:cs="Arial"/>
          <w:szCs w:val="24"/>
        </w:rPr>
        <w:t xml:space="preserve"> PGQ </w:t>
      </w:r>
      <w:r>
        <w:rPr>
          <w:rFonts w:cs="Arial"/>
          <w:szCs w:val="24"/>
        </w:rPr>
        <w:t>ait qualité pour</w:t>
      </w:r>
      <w:r w:rsidRPr="00377607">
        <w:rPr>
          <w:rFonts w:cs="Arial"/>
          <w:szCs w:val="24"/>
        </w:rPr>
        <w:t xml:space="preserve"> participer à un appel devant la Cour à titre d</w:t>
      </w:r>
      <w:r>
        <w:rPr>
          <w:rFonts w:cs="Arial"/>
          <w:szCs w:val="24"/>
        </w:rPr>
        <w:t>’</w:t>
      </w:r>
      <w:r w:rsidRPr="00377607">
        <w:rPr>
          <w:rFonts w:cs="Arial"/>
          <w:szCs w:val="24"/>
        </w:rPr>
        <w:t>appelant? La Cour ne s</w:t>
      </w:r>
      <w:r>
        <w:rPr>
          <w:rFonts w:cs="Arial"/>
          <w:szCs w:val="24"/>
        </w:rPr>
        <w:t>’</w:t>
      </w:r>
      <w:r w:rsidRPr="00377607">
        <w:rPr>
          <w:rFonts w:cs="Arial"/>
          <w:szCs w:val="24"/>
        </w:rPr>
        <w:t xml:space="preserve">est jamais penchée sur cette question. </w:t>
      </w:r>
    </w:p>
    <w:p w14:paraId="45D4C426" w14:textId="77777777" w:rsidR="005C67B6" w:rsidRPr="00EB28CD" w:rsidRDefault="005C67B6" w:rsidP="005C67B6">
      <w:pPr>
        <w:pStyle w:val="Paragraphe"/>
        <w:spacing w:line="240" w:lineRule="auto"/>
        <w:rPr>
          <w:rFonts w:cs="Arial"/>
          <w:szCs w:val="24"/>
        </w:rPr>
      </w:pPr>
      <w:r w:rsidRPr="00377607">
        <w:rPr>
          <w:rFonts w:cs="Arial"/>
          <w:szCs w:val="24"/>
        </w:rPr>
        <w:t>À mon avis, la qualité pour agir du DPCP n</w:t>
      </w:r>
      <w:r>
        <w:rPr>
          <w:rFonts w:cs="Arial"/>
          <w:szCs w:val="24"/>
        </w:rPr>
        <w:t>’</w:t>
      </w:r>
      <w:r w:rsidRPr="00377607">
        <w:rPr>
          <w:rFonts w:cs="Arial"/>
          <w:szCs w:val="24"/>
        </w:rPr>
        <w:t>exclut pas celle du PGQ</w:t>
      </w:r>
      <w:r>
        <w:rPr>
          <w:rStyle w:val="Appelnotedebasdep"/>
          <w:rFonts w:cs="Arial"/>
          <w:szCs w:val="24"/>
        </w:rPr>
        <w:footnoteReference w:id="6"/>
      </w:r>
      <w:r w:rsidRPr="00377607">
        <w:rPr>
          <w:rFonts w:cs="Arial"/>
          <w:szCs w:val="24"/>
        </w:rPr>
        <w:t>. Ces deux conseillers juridiques de l</w:t>
      </w:r>
      <w:r>
        <w:rPr>
          <w:rFonts w:cs="Arial"/>
          <w:szCs w:val="24"/>
        </w:rPr>
        <w:t>’</w:t>
      </w:r>
      <w:r w:rsidRPr="00377607">
        <w:rPr>
          <w:rFonts w:cs="Arial"/>
          <w:szCs w:val="24"/>
        </w:rPr>
        <w:t>État possèdent en droit une qualité pour agir équivalente et partagée en tant que procureur général et substitut au procureur général</w:t>
      </w:r>
      <w:r>
        <w:rPr>
          <w:rFonts w:cs="Arial"/>
          <w:szCs w:val="24"/>
        </w:rPr>
        <w:t>.</w:t>
      </w:r>
      <w:r w:rsidRPr="00377607">
        <w:rPr>
          <w:rFonts w:cs="Arial"/>
          <w:szCs w:val="24"/>
        </w:rPr>
        <w:t xml:space="preserve"> Cela est établi par le </w:t>
      </w:r>
      <w:r w:rsidRPr="00377607">
        <w:rPr>
          <w:rFonts w:cs="Arial"/>
          <w:i/>
          <w:iCs/>
          <w:szCs w:val="24"/>
        </w:rPr>
        <w:t>Code criminel</w:t>
      </w:r>
      <w:r w:rsidRPr="00377607">
        <w:rPr>
          <w:rFonts w:cs="Arial"/>
          <w:szCs w:val="24"/>
        </w:rPr>
        <w:t xml:space="preserve"> et les lois provinciales encadrant les fonctions de PGQ et de DPCP. </w:t>
      </w:r>
    </w:p>
    <w:p w14:paraId="0E75B54F" w14:textId="77777777" w:rsidR="005C67B6" w:rsidRPr="00536185" w:rsidRDefault="005C67B6" w:rsidP="005C67B6">
      <w:pPr>
        <w:pStyle w:val="Paragraphe"/>
        <w:spacing w:line="240" w:lineRule="auto"/>
        <w:rPr>
          <w:rFonts w:cs="Arial"/>
          <w:szCs w:val="24"/>
        </w:rPr>
      </w:pPr>
      <w:r w:rsidRPr="00377607">
        <w:rPr>
          <w:rFonts w:cs="Arial"/>
          <w:szCs w:val="24"/>
        </w:rPr>
        <w:t>Le pouvoir en matière de poursuites englobe l</w:t>
      </w:r>
      <w:r>
        <w:rPr>
          <w:rFonts w:cs="Arial"/>
          <w:szCs w:val="24"/>
        </w:rPr>
        <w:t>e pouvoir d’engager des</w:t>
      </w:r>
      <w:r w:rsidRPr="00377607">
        <w:rPr>
          <w:rFonts w:cs="Arial"/>
          <w:szCs w:val="24"/>
        </w:rPr>
        <w:t xml:space="preserve"> poursuites</w:t>
      </w:r>
      <w:r>
        <w:rPr>
          <w:rFonts w:cs="Arial"/>
          <w:szCs w:val="24"/>
        </w:rPr>
        <w:t xml:space="preserve"> en vertu de</w:t>
      </w:r>
      <w:r w:rsidRPr="00377607">
        <w:rPr>
          <w:rFonts w:cs="Arial"/>
          <w:szCs w:val="24"/>
        </w:rPr>
        <w:t xml:space="preserve"> lois valides et </w:t>
      </w:r>
      <w:r>
        <w:rPr>
          <w:rFonts w:cs="Arial"/>
          <w:szCs w:val="24"/>
        </w:rPr>
        <w:t xml:space="preserve">celui de défendre </w:t>
      </w:r>
      <w:r w:rsidRPr="00377607">
        <w:rPr>
          <w:rFonts w:cs="Arial"/>
          <w:szCs w:val="24"/>
        </w:rPr>
        <w:t>la validité des lois. Soit le DPCP et le PGQ partagent le même pouvoir en matière de poursuites dans l</w:t>
      </w:r>
      <w:r>
        <w:rPr>
          <w:rFonts w:cs="Arial"/>
          <w:szCs w:val="24"/>
        </w:rPr>
        <w:t>’</w:t>
      </w:r>
      <w:r w:rsidRPr="00377607">
        <w:rPr>
          <w:rFonts w:cs="Arial"/>
          <w:szCs w:val="24"/>
        </w:rPr>
        <w:t>exercice de ces fonctions, soit non. S</w:t>
      </w:r>
      <w:r>
        <w:rPr>
          <w:rFonts w:cs="Arial"/>
          <w:szCs w:val="24"/>
        </w:rPr>
        <w:t>’</w:t>
      </w:r>
      <w:r w:rsidRPr="00377607">
        <w:rPr>
          <w:rFonts w:cs="Arial"/>
          <w:szCs w:val="24"/>
        </w:rPr>
        <w:t xml:space="preserve">ils partagent le même pouvoir, leurs fonctions peuvent être </w:t>
      </w:r>
      <w:r>
        <w:rPr>
          <w:rFonts w:cs="Arial"/>
          <w:szCs w:val="24"/>
        </w:rPr>
        <w:t>séparées</w:t>
      </w:r>
      <w:r w:rsidRPr="00377607">
        <w:rPr>
          <w:rFonts w:cs="Arial"/>
          <w:szCs w:val="24"/>
        </w:rPr>
        <w:t xml:space="preserve"> par un</w:t>
      </w:r>
      <w:r>
        <w:rPr>
          <w:rFonts w:cs="Arial"/>
          <w:szCs w:val="24"/>
        </w:rPr>
        <w:t xml:space="preserve"> voile</w:t>
      </w:r>
      <w:r w:rsidRPr="00377607">
        <w:rPr>
          <w:rFonts w:cs="Arial"/>
          <w:szCs w:val="24"/>
        </w:rPr>
        <w:t xml:space="preserve"> institutionnel entre le travail consistant à engager des poursuites et celui consistant à défendre la validité des lois, mais une telle </w:t>
      </w:r>
      <w:r>
        <w:rPr>
          <w:rFonts w:cs="Arial"/>
          <w:szCs w:val="24"/>
        </w:rPr>
        <w:t>séparation</w:t>
      </w:r>
      <w:r w:rsidRPr="00377607">
        <w:rPr>
          <w:rFonts w:cs="Arial"/>
          <w:szCs w:val="24"/>
        </w:rPr>
        <w:t xml:space="preserve"> ne constitue pas un impératif juridique, car </w:t>
      </w:r>
      <w:r>
        <w:rPr>
          <w:rFonts w:cs="Arial"/>
          <w:szCs w:val="24"/>
        </w:rPr>
        <w:t>ces</w:t>
      </w:r>
      <w:r w:rsidRPr="00377607">
        <w:rPr>
          <w:rFonts w:cs="Arial"/>
          <w:szCs w:val="24"/>
        </w:rPr>
        <w:t xml:space="preserve"> deux </w:t>
      </w:r>
      <w:r>
        <w:rPr>
          <w:rFonts w:cs="Arial"/>
          <w:szCs w:val="24"/>
        </w:rPr>
        <w:t xml:space="preserve">fonctions </w:t>
      </w:r>
      <w:r w:rsidRPr="00377607">
        <w:rPr>
          <w:rFonts w:cs="Arial"/>
          <w:szCs w:val="24"/>
        </w:rPr>
        <w:t>sont sur un pied d</w:t>
      </w:r>
      <w:r>
        <w:rPr>
          <w:rFonts w:cs="Arial"/>
          <w:szCs w:val="24"/>
        </w:rPr>
        <w:t>’</w:t>
      </w:r>
      <w:r w:rsidRPr="00377607">
        <w:rPr>
          <w:rFonts w:cs="Arial"/>
          <w:szCs w:val="24"/>
        </w:rPr>
        <w:t>égalité. Si elle est imposée par le législateur, ce</w:t>
      </w:r>
      <w:r>
        <w:rPr>
          <w:rFonts w:cs="Arial"/>
          <w:szCs w:val="24"/>
        </w:rPr>
        <w:t xml:space="preserve"> voile</w:t>
      </w:r>
      <w:r w:rsidRPr="00377607">
        <w:rPr>
          <w:rFonts w:cs="Arial"/>
          <w:szCs w:val="24"/>
        </w:rPr>
        <w:t xml:space="preserve"> renforce l</w:t>
      </w:r>
      <w:r>
        <w:rPr>
          <w:rFonts w:cs="Arial"/>
          <w:szCs w:val="24"/>
        </w:rPr>
        <w:t>’</w:t>
      </w:r>
      <w:r w:rsidRPr="00377607">
        <w:rPr>
          <w:rFonts w:cs="Arial"/>
          <w:szCs w:val="24"/>
        </w:rPr>
        <w:t>apparence d</w:t>
      </w:r>
      <w:r>
        <w:rPr>
          <w:rFonts w:cs="Arial"/>
          <w:szCs w:val="24"/>
        </w:rPr>
        <w:t>’</w:t>
      </w:r>
      <w:r w:rsidRPr="00377607">
        <w:rPr>
          <w:rFonts w:cs="Arial"/>
          <w:szCs w:val="24"/>
        </w:rPr>
        <w:t xml:space="preserve">indépendance en matière de poursuites en créant une </w:t>
      </w:r>
      <w:r>
        <w:rPr>
          <w:rFonts w:cs="Arial"/>
          <w:szCs w:val="24"/>
        </w:rPr>
        <w:t>séparation</w:t>
      </w:r>
      <w:r w:rsidRPr="00377607">
        <w:rPr>
          <w:rFonts w:cs="Arial"/>
          <w:szCs w:val="24"/>
        </w:rPr>
        <w:t xml:space="preserve"> fonctionnelle, mais </w:t>
      </w:r>
      <w:r>
        <w:rPr>
          <w:rFonts w:cs="Arial"/>
          <w:szCs w:val="24"/>
        </w:rPr>
        <w:t>il</w:t>
      </w:r>
      <w:r w:rsidRPr="00377607">
        <w:rPr>
          <w:rFonts w:cs="Arial"/>
          <w:szCs w:val="24"/>
        </w:rPr>
        <w:t xml:space="preserve"> n</w:t>
      </w:r>
      <w:r>
        <w:rPr>
          <w:rFonts w:cs="Arial"/>
          <w:szCs w:val="24"/>
        </w:rPr>
        <w:t>’</w:t>
      </w:r>
      <w:r w:rsidRPr="00377607">
        <w:rPr>
          <w:rFonts w:cs="Arial"/>
          <w:szCs w:val="24"/>
        </w:rPr>
        <w:t xml:space="preserve">entraîne pas de séparation du pouvoir </w:t>
      </w:r>
      <w:r>
        <w:rPr>
          <w:rFonts w:cs="Arial"/>
          <w:szCs w:val="24"/>
        </w:rPr>
        <w:t xml:space="preserve">en droit </w:t>
      </w:r>
      <w:r w:rsidRPr="00377607">
        <w:rPr>
          <w:rFonts w:cs="Arial"/>
          <w:szCs w:val="24"/>
        </w:rPr>
        <w:t>entre le PGQ et le DPCP. S</w:t>
      </w:r>
      <w:r>
        <w:rPr>
          <w:rFonts w:cs="Arial"/>
          <w:szCs w:val="24"/>
        </w:rPr>
        <w:t>’</w:t>
      </w:r>
      <w:r w:rsidRPr="00377607">
        <w:rPr>
          <w:rFonts w:cs="Arial"/>
          <w:szCs w:val="24"/>
        </w:rPr>
        <w:t xml:space="preserve">ils ne partagent pas le pouvoir en matière de poursuites, alors le PGQ est un tiers dans les poursuites engagées par le DPCP et, à ce titre, il doit </w:t>
      </w:r>
      <w:r>
        <w:rPr>
          <w:rFonts w:cs="Arial"/>
          <w:szCs w:val="24"/>
        </w:rPr>
        <w:t xml:space="preserve">établir un fondement suffisant </w:t>
      </w:r>
      <w:r w:rsidRPr="00377607">
        <w:rPr>
          <w:rFonts w:cs="Arial"/>
          <w:szCs w:val="24"/>
        </w:rPr>
        <w:t xml:space="preserve">pour </w:t>
      </w:r>
      <w:r>
        <w:rPr>
          <w:rFonts w:cs="Arial"/>
          <w:szCs w:val="24"/>
        </w:rPr>
        <w:t>justifier son passage de tiers à poursuivant</w:t>
      </w:r>
      <w:r w:rsidRPr="00377607">
        <w:rPr>
          <w:rFonts w:cs="Arial"/>
          <w:szCs w:val="24"/>
        </w:rPr>
        <w:t xml:space="preserve">. Ces deux façons de concevoir le pouvoir en matière de poursuites ne peuvent être </w:t>
      </w:r>
      <w:r>
        <w:rPr>
          <w:rFonts w:cs="Arial"/>
          <w:szCs w:val="24"/>
        </w:rPr>
        <w:t xml:space="preserve">correctes </w:t>
      </w:r>
      <w:r w:rsidRPr="00377607">
        <w:rPr>
          <w:rFonts w:cs="Arial"/>
          <w:szCs w:val="24"/>
        </w:rPr>
        <w:t xml:space="preserve">toutes les deux. Je souscris à la première. </w:t>
      </w:r>
    </w:p>
    <w:p w14:paraId="54B94076" w14:textId="77777777" w:rsidR="005C67B6" w:rsidRPr="00EB28CD" w:rsidRDefault="005C67B6" w:rsidP="005C67B6">
      <w:pPr>
        <w:pStyle w:val="Paragraphe"/>
        <w:spacing w:line="240" w:lineRule="auto"/>
        <w:rPr>
          <w:rFonts w:cs="Arial"/>
          <w:szCs w:val="24"/>
        </w:rPr>
      </w:pPr>
      <w:r>
        <w:rPr>
          <w:rFonts w:cs="Arial"/>
          <w:szCs w:val="24"/>
        </w:rPr>
        <w:t>Le sens ordinaire des mots donne une première indication</w:t>
      </w:r>
      <w:r w:rsidRPr="00377607">
        <w:rPr>
          <w:rFonts w:cs="Arial"/>
          <w:szCs w:val="24"/>
        </w:rPr>
        <w:t>. Bien avant la création du DPCP, on trouvait à l</w:t>
      </w:r>
      <w:r>
        <w:rPr>
          <w:rFonts w:cs="Arial"/>
          <w:szCs w:val="24"/>
        </w:rPr>
        <w:t>’</w:t>
      </w:r>
      <w:r w:rsidRPr="00377607">
        <w:rPr>
          <w:rFonts w:cs="Arial"/>
          <w:szCs w:val="24"/>
        </w:rPr>
        <w:t xml:space="preserve">article 2 du </w:t>
      </w:r>
      <w:r w:rsidRPr="00377607">
        <w:rPr>
          <w:rFonts w:cs="Arial"/>
          <w:i/>
          <w:iCs/>
          <w:szCs w:val="24"/>
        </w:rPr>
        <w:t xml:space="preserve">Code criminel </w:t>
      </w:r>
      <w:r w:rsidRPr="00377607">
        <w:rPr>
          <w:rFonts w:cs="Arial"/>
          <w:szCs w:val="24"/>
        </w:rPr>
        <w:t>la définition suivante du terme « procureur général » :</w:t>
      </w:r>
    </w:p>
    <w:p w14:paraId="61EAC183" w14:textId="77777777" w:rsidR="005C67B6" w:rsidRPr="00EB28CD" w:rsidRDefault="005C67B6" w:rsidP="005C67B6">
      <w:pPr>
        <w:pStyle w:val="Citationenretrait"/>
      </w:pPr>
      <w:r w:rsidRPr="00FA6466">
        <w:rPr>
          <w:rStyle w:val="lawlabel"/>
          <w:rFonts w:cs="Arial"/>
          <w:color w:val="000000"/>
          <w:szCs w:val="24"/>
        </w:rPr>
        <w:t>a)</w:t>
      </w:r>
      <w:r w:rsidRPr="00377607">
        <w:t xml:space="preserve"> À l’égard des poursuites ou procédures visées par la présente loi, le procureur général ou le solliciteur général de la province où ces poursuites ou procédures sont engagées ou leur substitut légitime [...].</w:t>
      </w:r>
    </w:p>
    <w:p w14:paraId="060EA5D8" w14:textId="77777777" w:rsidR="005C67B6" w:rsidRDefault="005C67B6" w:rsidP="005C67B6">
      <w:pPr>
        <w:spacing w:line="240" w:lineRule="auto"/>
        <w:jc w:val="both"/>
        <w:rPr>
          <w:rFonts w:cs="Arial"/>
          <w:szCs w:val="24"/>
        </w:rPr>
      </w:pPr>
      <w:r w:rsidRPr="00377607">
        <w:rPr>
          <w:rFonts w:cs="Arial"/>
          <w:szCs w:val="24"/>
        </w:rPr>
        <w:t>Cette définition n</w:t>
      </w:r>
      <w:r>
        <w:rPr>
          <w:rFonts w:cs="Arial"/>
          <w:szCs w:val="24"/>
        </w:rPr>
        <w:t>’</w:t>
      </w:r>
      <w:r w:rsidRPr="00377607">
        <w:rPr>
          <w:rFonts w:cs="Arial"/>
          <w:szCs w:val="24"/>
        </w:rPr>
        <w:t xml:space="preserve">a subi aucune modification de fond. </w:t>
      </w:r>
    </w:p>
    <w:p w14:paraId="555F24CD" w14:textId="77777777" w:rsidR="00DE01FB" w:rsidRPr="00EB28CD" w:rsidRDefault="00DE01FB" w:rsidP="005C67B6">
      <w:pPr>
        <w:spacing w:line="240" w:lineRule="auto"/>
        <w:jc w:val="both"/>
        <w:rPr>
          <w:rFonts w:cs="Arial"/>
          <w:szCs w:val="24"/>
        </w:rPr>
      </w:pPr>
    </w:p>
    <w:p w14:paraId="7AFD0E7B" w14:textId="77777777" w:rsidR="005C67B6" w:rsidRPr="00EB28CD" w:rsidRDefault="005C67B6" w:rsidP="005C67B6">
      <w:pPr>
        <w:pStyle w:val="Paragraphe"/>
        <w:spacing w:before="240" w:line="240" w:lineRule="auto"/>
        <w:rPr>
          <w:rFonts w:cs="Arial"/>
          <w:szCs w:val="24"/>
        </w:rPr>
      </w:pPr>
      <w:r w:rsidRPr="00377607">
        <w:rPr>
          <w:rFonts w:cs="Arial"/>
          <w:szCs w:val="24"/>
        </w:rPr>
        <w:t xml:space="preserve">On trouve au même article : </w:t>
      </w:r>
    </w:p>
    <w:p w14:paraId="59217BAB" w14:textId="77777777" w:rsidR="005C67B6" w:rsidRPr="006B2101" w:rsidRDefault="005C67B6" w:rsidP="005C67B6">
      <w:pPr>
        <w:pStyle w:val="Citationenretrait"/>
        <w:spacing w:line="240" w:lineRule="auto"/>
        <w:rPr>
          <w:rFonts w:cs="Arial"/>
          <w:szCs w:val="22"/>
        </w:rPr>
      </w:pPr>
      <w:r w:rsidRPr="006B2101">
        <w:rPr>
          <w:rFonts w:cs="Arial"/>
          <w:b/>
          <w:bCs/>
          <w:i/>
          <w:iCs/>
          <w:szCs w:val="22"/>
        </w:rPr>
        <w:t>poursuivant</w:t>
      </w:r>
      <w:r w:rsidRPr="006B2101">
        <w:rPr>
          <w:rFonts w:cs="Arial"/>
          <w:szCs w:val="22"/>
        </w:rPr>
        <w:t> </w:t>
      </w:r>
      <w:r w:rsidRPr="006B2101">
        <w:rPr>
          <w:rFonts w:cs="Arial"/>
          <w:szCs w:val="22"/>
        </w:rPr>
        <w:t>Le procureur général ou, lorsque celui-ci n’intervient pas, la personne qui intente des poursuites en vertu de la présente loi. Est visé par la présente définition tout avocat agissant pour le compte de l’un ou de l’autre.</w:t>
      </w:r>
    </w:p>
    <w:p w14:paraId="74923A0A" w14:textId="77777777" w:rsidR="005C67B6" w:rsidRPr="00EB28CD" w:rsidRDefault="005C67B6" w:rsidP="005C67B6">
      <w:pPr>
        <w:spacing w:before="120" w:line="240" w:lineRule="auto"/>
        <w:jc w:val="both"/>
        <w:rPr>
          <w:rFonts w:cs="Arial"/>
          <w:szCs w:val="24"/>
        </w:rPr>
      </w:pPr>
      <w:r w:rsidRPr="00377607">
        <w:rPr>
          <w:rFonts w:cs="Arial"/>
          <w:szCs w:val="24"/>
        </w:rPr>
        <w:t>Cette inclusion donne au PGQ et à ses substituts désignés la même qualité</w:t>
      </w:r>
      <w:r>
        <w:rPr>
          <w:rFonts w:cs="Arial"/>
          <w:szCs w:val="24"/>
        </w:rPr>
        <w:t xml:space="preserve"> pour agir</w:t>
      </w:r>
      <w:r w:rsidRPr="00377607">
        <w:rPr>
          <w:rFonts w:cs="Arial"/>
          <w:szCs w:val="24"/>
        </w:rPr>
        <w:t xml:space="preserve">. Voici ce que prévoit la </w:t>
      </w:r>
      <w:r w:rsidRPr="00377607">
        <w:rPr>
          <w:rFonts w:cs="Arial"/>
          <w:i/>
          <w:iCs/>
          <w:szCs w:val="24"/>
        </w:rPr>
        <w:t>Loi sur le DPCP</w:t>
      </w:r>
      <w:r w:rsidRPr="00377607">
        <w:rPr>
          <w:rFonts w:cs="Arial"/>
          <w:szCs w:val="24"/>
        </w:rPr>
        <w:t xml:space="preserve"> : </w:t>
      </w:r>
    </w:p>
    <w:p w14:paraId="28C9998E" w14:textId="77777777" w:rsidR="005C67B6" w:rsidRPr="00EB28CD" w:rsidRDefault="005C67B6" w:rsidP="005C67B6">
      <w:pPr>
        <w:spacing w:line="240" w:lineRule="auto"/>
        <w:jc w:val="both"/>
        <w:rPr>
          <w:rFonts w:cs="Arial"/>
          <w:szCs w:val="24"/>
        </w:rPr>
      </w:pPr>
    </w:p>
    <w:p w14:paraId="5914A33E" w14:textId="77777777" w:rsidR="005C67B6" w:rsidRPr="006B2101" w:rsidRDefault="005C67B6" w:rsidP="005C67B6">
      <w:pPr>
        <w:pStyle w:val="Paragraphedeliste"/>
        <w:numPr>
          <w:ilvl w:val="0"/>
          <w:numId w:val="24"/>
        </w:numPr>
        <w:jc w:val="both"/>
        <w:rPr>
          <w:rFonts w:cs="Arial"/>
          <w:sz w:val="22"/>
          <w:szCs w:val="22"/>
        </w:rPr>
      </w:pPr>
      <w:r w:rsidRPr="006B2101">
        <w:rPr>
          <w:rFonts w:cs="Arial"/>
          <w:sz w:val="22"/>
          <w:szCs w:val="22"/>
        </w:rPr>
        <w:t>La présente loi institue la charge de Directeur des poursuites criminelles et pénales.</w:t>
      </w:r>
    </w:p>
    <w:p w14:paraId="07C76661" w14:textId="77777777" w:rsidR="005C67B6" w:rsidRPr="006B2101" w:rsidRDefault="005C67B6" w:rsidP="005C67B6">
      <w:pPr>
        <w:spacing w:line="240" w:lineRule="auto"/>
        <w:ind w:left="720"/>
        <w:jc w:val="both"/>
        <w:rPr>
          <w:rFonts w:cs="Arial"/>
          <w:sz w:val="22"/>
          <w:szCs w:val="22"/>
        </w:rPr>
      </w:pPr>
    </w:p>
    <w:p w14:paraId="07AF5D73" w14:textId="77777777" w:rsidR="005C67B6" w:rsidRPr="006B2101" w:rsidRDefault="005C67B6" w:rsidP="005C67B6">
      <w:pPr>
        <w:spacing w:line="240" w:lineRule="auto"/>
        <w:ind w:left="720"/>
        <w:jc w:val="both"/>
        <w:rPr>
          <w:rFonts w:cs="Arial"/>
          <w:sz w:val="22"/>
          <w:szCs w:val="22"/>
        </w:rPr>
      </w:pPr>
      <w:r w:rsidRPr="006B2101">
        <w:rPr>
          <w:rFonts w:cs="Arial"/>
          <w:sz w:val="22"/>
          <w:szCs w:val="22"/>
        </w:rPr>
        <w:t>Le directeur dirige pour l’État, sous l’autorité générale du ministre de la Justice et procureur général, les poursuites criminelles et pénales au Québec. Il exerce les fonctions qui lui sont conférées par la présente loi, avec l’indépendance que celle-ci lui accorde.</w:t>
      </w:r>
    </w:p>
    <w:p w14:paraId="6DA0BFD2" w14:textId="77777777" w:rsidR="005C67B6" w:rsidRPr="006B2101" w:rsidRDefault="005C67B6" w:rsidP="005C67B6">
      <w:pPr>
        <w:spacing w:line="240" w:lineRule="auto"/>
        <w:ind w:left="720"/>
        <w:jc w:val="both"/>
        <w:rPr>
          <w:rFonts w:cs="Arial"/>
          <w:sz w:val="22"/>
          <w:szCs w:val="22"/>
        </w:rPr>
      </w:pPr>
    </w:p>
    <w:p w14:paraId="4AEBBA39" w14:textId="77777777" w:rsidR="005C67B6" w:rsidRPr="006B2101" w:rsidRDefault="005C67B6" w:rsidP="005C67B6">
      <w:pPr>
        <w:spacing w:line="240" w:lineRule="auto"/>
        <w:ind w:left="720"/>
        <w:jc w:val="both"/>
        <w:rPr>
          <w:rFonts w:cs="Arial"/>
          <w:sz w:val="22"/>
          <w:szCs w:val="22"/>
        </w:rPr>
      </w:pPr>
      <w:r w:rsidRPr="006B2101">
        <w:rPr>
          <w:rFonts w:cs="Arial"/>
          <w:sz w:val="22"/>
          <w:szCs w:val="22"/>
        </w:rPr>
        <w:t>Dans l’exercice de sa charge, le directeur est d’office sous-procureur général pour les poursuites criminelles et pénales.  Il est en outre, ainsi que les poursuivants sous son autorité, le substitut légitime du procureur général du Québec au sens du Code criminel.</w:t>
      </w:r>
    </w:p>
    <w:p w14:paraId="5053FBF1" w14:textId="77777777" w:rsidR="005C67B6" w:rsidRPr="00EB28CD" w:rsidRDefault="005C67B6" w:rsidP="005C67B6">
      <w:pPr>
        <w:spacing w:line="240" w:lineRule="auto"/>
        <w:jc w:val="both"/>
        <w:rPr>
          <w:rFonts w:cs="Arial"/>
          <w:szCs w:val="24"/>
        </w:rPr>
      </w:pPr>
    </w:p>
    <w:p w14:paraId="40F52138" w14:textId="77777777" w:rsidR="005C67B6" w:rsidRPr="00595FC9" w:rsidRDefault="005C67B6" w:rsidP="005C67B6">
      <w:pPr>
        <w:pStyle w:val="Paragraphe"/>
        <w:spacing w:line="240" w:lineRule="auto"/>
        <w:rPr>
          <w:rFonts w:cs="Arial"/>
          <w:szCs w:val="24"/>
        </w:rPr>
      </w:pPr>
      <w:r w:rsidRPr="00377607">
        <w:rPr>
          <w:rFonts w:cs="Arial"/>
          <w:szCs w:val="24"/>
        </w:rPr>
        <w:t xml:space="preserve">Le DPCP est </w:t>
      </w:r>
      <w:r>
        <w:rPr>
          <w:rFonts w:cs="Arial"/>
          <w:szCs w:val="24"/>
        </w:rPr>
        <w:t xml:space="preserve">un </w:t>
      </w:r>
      <w:r w:rsidRPr="00377607">
        <w:rPr>
          <w:rFonts w:cs="Arial"/>
          <w:szCs w:val="24"/>
        </w:rPr>
        <w:t xml:space="preserve">poursuivant et sous-procureur général au sens du </w:t>
      </w:r>
      <w:r w:rsidRPr="00377607">
        <w:rPr>
          <w:rFonts w:cs="Arial"/>
          <w:i/>
          <w:iCs/>
          <w:szCs w:val="24"/>
        </w:rPr>
        <w:t>Code criminel</w:t>
      </w:r>
      <w:r w:rsidRPr="00377607">
        <w:rPr>
          <w:rFonts w:cs="Arial"/>
          <w:szCs w:val="24"/>
        </w:rPr>
        <w:t>. Pour l</w:t>
      </w:r>
      <w:r>
        <w:rPr>
          <w:rFonts w:cs="Arial"/>
          <w:szCs w:val="24"/>
        </w:rPr>
        <w:t>’</w:t>
      </w:r>
      <w:r w:rsidRPr="00377607">
        <w:rPr>
          <w:rFonts w:cs="Arial"/>
          <w:szCs w:val="24"/>
        </w:rPr>
        <w:t>application de l</w:t>
      </w:r>
      <w:r>
        <w:rPr>
          <w:rFonts w:cs="Arial"/>
          <w:szCs w:val="24"/>
        </w:rPr>
        <w:t>’</w:t>
      </w:r>
      <w:r w:rsidRPr="00377607">
        <w:rPr>
          <w:rFonts w:cs="Arial"/>
          <w:szCs w:val="24"/>
        </w:rPr>
        <w:t xml:space="preserve">alinéa 676(1)d) </w:t>
      </w:r>
      <w:r w:rsidRPr="00377607">
        <w:rPr>
          <w:rFonts w:cs="Arial"/>
          <w:i/>
          <w:iCs/>
          <w:szCs w:val="24"/>
        </w:rPr>
        <w:t>C.cr.</w:t>
      </w:r>
      <w:r w:rsidRPr="00377607">
        <w:rPr>
          <w:rFonts w:cs="Arial"/>
          <w:szCs w:val="24"/>
        </w:rPr>
        <w:t xml:space="preserve">, </w:t>
      </w:r>
      <w:r>
        <w:rPr>
          <w:rFonts w:cs="Arial"/>
          <w:szCs w:val="24"/>
        </w:rPr>
        <w:t>la qualité pour agir du</w:t>
      </w:r>
      <w:r w:rsidRPr="00377607">
        <w:rPr>
          <w:rFonts w:cs="Arial"/>
          <w:szCs w:val="24"/>
        </w:rPr>
        <w:t xml:space="preserve"> PGQ et </w:t>
      </w:r>
      <w:r>
        <w:rPr>
          <w:rFonts w:cs="Arial"/>
          <w:szCs w:val="24"/>
        </w:rPr>
        <w:t>du</w:t>
      </w:r>
      <w:r w:rsidRPr="00377607">
        <w:rPr>
          <w:rFonts w:cs="Arial"/>
          <w:szCs w:val="24"/>
        </w:rPr>
        <w:t xml:space="preserve"> DPCP </w:t>
      </w:r>
      <w:r>
        <w:rPr>
          <w:rFonts w:cs="Arial"/>
          <w:szCs w:val="24"/>
        </w:rPr>
        <w:t>est</w:t>
      </w:r>
      <w:r w:rsidRPr="00377607">
        <w:rPr>
          <w:rFonts w:cs="Arial"/>
          <w:szCs w:val="24"/>
        </w:rPr>
        <w:t xml:space="preserve"> </w:t>
      </w:r>
      <w:r>
        <w:rPr>
          <w:rFonts w:cs="Arial"/>
          <w:szCs w:val="24"/>
        </w:rPr>
        <w:t>identiqu</w:t>
      </w:r>
      <w:r w:rsidRPr="00377607">
        <w:rPr>
          <w:rFonts w:cs="Arial"/>
          <w:szCs w:val="24"/>
        </w:rPr>
        <w:t>e et co</w:t>
      </w:r>
      <w:r>
        <w:rPr>
          <w:rFonts w:cs="Arial"/>
          <w:szCs w:val="24"/>
        </w:rPr>
        <w:t>njointe</w:t>
      </w:r>
      <w:r w:rsidRPr="00377607">
        <w:rPr>
          <w:rFonts w:cs="Arial"/>
          <w:szCs w:val="24"/>
        </w:rPr>
        <w:t xml:space="preserve"> s</w:t>
      </w:r>
      <w:r>
        <w:rPr>
          <w:rFonts w:cs="Arial"/>
          <w:szCs w:val="24"/>
        </w:rPr>
        <w:t>’</w:t>
      </w:r>
      <w:r w:rsidRPr="00377607">
        <w:rPr>
          <w:rFonts w:cs="Arial"/>
          <w:szCs w:val="24"/>
        </w:rPr>
        <w:t>ils procèdent tous les deux</w:t>
      </w:r>
      <w:r>
        <w:rPr>
          <w:rStyle w:val="Appelnotedebasdep"/>
          <w:rFonts w:cs="Arial"/>
          <w:szCs w:val="24"/>
        </w:rPr>
        <w:footnoteReference w:id="7"/>
      </w:r>
      <w:r>
        <w:rPr>
          <w:rFonts w:cs="Arial"/>
          <w:szCs w:val="24"/>
        </w:rPr>
        <w:t>.</w:t>
      </w:r>
      <w:r w:rsidRPr="00377607">
        <w:rPr>
          <w:rFonts w:cs="Arial"/>
          <w:szCs w:val="24"/>
        </w:rPr>
        <w:t xml:space="preserve"> Si un</w:t>
      </w:r>
      <w:r>
        <w:rPr>
          <w:rFonts w:cs="Arial"/>
          <w:szCs w:val="24"/>
        </w:rPr>
        <w:t xml:space="preserve"> voil</w:t>
      </w:r>
      <w:r w:rsidRPr="00377607">
        <w:rPr>
          <w:rFonts w:cs="Arial"/>
          <w:szCs w:val="24"/>
        </w:rPr>
        <w:t xml:space="preserve">e </w:t>
      </w:r>
      <w:r w:rsidRPr="006055D4">
        <w:rPr>
          <w:rFonts w:cs="Arial"/>
          <w:szCs w:val="24"/>
        </w:rPr>
        <w:t>diplomatique</w:t>
      </w:r>
      <w:r w:rsidRPr="00377607">
        <w:rPr>
          <w:rFonts w:cs="Arial"/>
          <w:szCs w:val="24"/>
        </w:rPr>
        <w:t xml:space="preserve"> </w:t>
      </w:r>
      <w:r>
        <w:rPr>
          <w:rFonts w:cs="Arial"/>
          <w:szCs w:val="24"/>
        </w:rPr>
        <w:t>sépare</w:t>
      </w:r>
      <w:r w:rsidRPr="00377607">
        <w:rPr>
          <w:rFonts w:cs="Arial"/>
          <w:szCs w:val="24"/>
        </w:rPr>
        <w:t xml:space="preserve"> leurs fonctions, leur statut juridique et leur pouvoir partagé demeurent quant à eux non divisés. Au Québec, le DPCP</w:t>
      </w:r>
      <w:r>
        <w:rPr>
          <w:rFonts w:cs="Arial"/>
          <w:szCs w:val="24"/>
        </w:rPr>
        <w:t xml:space="preserve"> conserve</w:t>
      </w:r>
      <w:r w:rsidRPr="00377607">
        <w:rPr>
          <w:rFonts w:cs="Arial"/>
          <w:szCs w:val="24"/>
        </w:rPr>
        <w:t xml:space="preserve"> le pouvoir du PGQ en matière de poursuites, mais il ne s</w:t>
      </w:r>
      <w:r>
        <w:rPr>
          <w:rFonts w:cs="Arial"/>
          <w:szCs w:val="24"/>
        </w:rPr>
        <w:t>’</w:t>
      </w:r>
      <w:r w:rsidRPr="00377607">
        <w:rPr>
          <w:rFonts w:cs="Arial"/>
          <w:szCs w:val="24"/>
        </w:rPr>
        <w:t>agit que d</w:t>
      </w:r>
      <w:r>
        <w:rPr>
          <w:rFonts w:cs="Arial"/>
          <w:szCs w:val="24"/>
        </w:rPr>
        <w:t>’</w:t>
      </w:r>
      <w:r w:rsidRPr="00377607">
        <w:rPr>
          <w:rFonts w:cs="Arial"/>
          <w:szCs w:val="24"/>
        </w:rPr>
        <w:t>une délégation partielle, puisque le PGQ se charge des autres fonctions d</w:t>
      </w:r>
      <w:r>
        <w:rPr>
          <w:rFonts w:cs="Arial"/>
          <w:szCs w:val="24"/>
        </w:rPr>
        <w:t>’</w:t>
      </w:r>
      <w:r w:rsidRPr="00377607">
        <w:rPr>
          <w:rFonts w:cs="Arial"/>
          <w:szCs w:val="24"/>
        </w:rPr>
        <w:t>intérêt public qui ne relèvent pas de la conduite de</w:t>
      </w:r>
      <w:r>
        <w:rPr>
          <w:rFonts w:cs="Arial"/>
          <w:szCs w:val="24"/>
        </w:rPr>
        <w:t>s</w:t>
      </w:r>
      <w:r w:rsidRPr="00377607">
        <w:rPr>
          <w:rFonts w:cs="Arial"/>
          <w:szCs w:val="24"/>
        </w:rPr>
        <w:t xml:space="preserve"> poursuites criminelles</w:t>
      </w:r>
      <w:r>
        <w:rPr>
          <w:rStyle w:val="Appelnotedebasdep"/>
          <w:rFonts w:cs="Arial"/>
          <w:szCs w:val="24"/>
        </w:rPr>
        <w:footnoteReference w:id="8"/>
      </w:r>
      <w:r>
        <w:rPr>
          <w:rFonts w:cs="Arial"/>
          <w:szCs w:val="24"/>
        </w:rPr>
        <w:t>.</w:t>
      </w:r>
    </w:p>
    <w:p w14:paraId="170844ED" w14:textId="77777777" w:rsidR="005C67B6" w:rsidRPr="00595FC9" w:rsidRDefault="005C67B6" w:rsidP="005C67B6">
      <w:pPr>
        <w:pStyle w:val="Paragraphe"/>
        <w:spacing w:line="240" w:lineRule="auto"/>
        <w:rPr>
          <w:rFonts w:cs="Arial"/>
          <w:szCs w:val="24"/>
        </w:rPr>
      </w:pPr>
      <w:r w:rsidRPr="00372436">
        <w:rPr>
          <w:rFonts w:cs="Arial"/>
          <w:szCs w:val="24"/>
        </w:rPr>
        <w:t>Il découle du pouvoir</w:t>
      </w:r>
      <w:r w:rsidRPr="0029067C">
        <w:rPr>
          <w:rFonts w:cs="Arial"/>
          <w:szCs w:val="24"/>
        </w:rPr>
        <w:t xml:space="preserve"> que </w:t>
      </w:r>
      <w:r>
        <w:rPr>
          <w:rFonts w:cs="Arial"/>
          <w:szCs w:val="24"/>
        </w:rPr>
        <w:t xml:space="preserve">se </w:t>
      </w:r>
      <w:r w:rsidRPr="0029067C">
        <w:rPr>
          <w:rFonts w:cs="Arial"/>
          <w:szCs w:val="24"/>
        </w:rPr>
        <w:t xml:space="preserve">partagent le PGQ et le DPCP en matière de poursuites que le PGQ a le droit de </w:t>
      </w:r>
      <w:r>
        <w:rPr>
          <w:rFonts w:cs="Arial"/>
          <w:szCs w:val="24"/>
        </w:rPr>
        <w:t>présenter des observations</w:t>
      </w:r>
      <w:r w:rsidRPr="0029067C">
        <w:rPr>
          <w:rFonts w:cs="Arial"/>
          <w:szCs w:val="24"/>
        </w:rPr>
        <w:t xml:space="preserve"> et d</w:t>
      </w:r>
      <w:r>
        <w:rPr>
          <w:rFonts w:cs="Arial"/>
          <w:szCs w:val="24"/>
        </w:rPr>
        <w:t>’</w:t>
      </w:r>
      <w:r w:rsidRPr="0029067C">
        <w:rPr>
          <w:rFonts w:cs="Arial"/>
          <w:szCs w:val="24"/>
        </w:rPr>
        <w:t xml:space="preserve">agir comme partie dans les poursuites criminelles engagées par le DPCP. </w:t>
      </w:r>
      <w:r>
        <w:rPr>
          <w:rFonts w:cs="Arial"/>
          <w:szCs w:val="24"/>
        </w:rPr>
        <w:t>En matière d’</w:t>
      </w:r>
      <w:r w:rsidRPr="0029067C">
        <w:rPr>
          <w:rFonts w:cs="Arial"/>
          <w:szCs w:val="24"/>
        </w:rPr>
        <w:t>appel de plein droit, le PGQ n</w:t>
      </w:r>
      <w:r>
        <w:rPr>
          <w:rFonts w:cs="Arial"/>
          <w:szCs w:val="24"/>
        </w:rPr>
        <w:t>’</w:t>
      </w:r>
      <w:r w:rsidRPr="0029067C">
        <w:rPr>
          <w:rFonts w:cs="Arial"/>
          <w:szCs w:val="24"/>
        </w:rPr>
        <w:t xml:space="preserve">a pas à solliciter </w:t>
      </w:r>
      <w:r>
        <w:rPr>
          <w:rFonts w:cs="Arial"/>
          <w:szCs w:val="24"/>
        </w:rPr>
        <w:t>l’</w:t>
      </w:r>
      <w:r w:rsidRPr="0029067C">
        <w:rPr>
          <w:rFonts w:cs="Arial"/>
          <w:szCs w:val="24"/>
        </w:rPr>
        <w:t xml:space="preserve">autorisation; </w:t>
      </w:r>
      <w:r>
        <w:rPr>
          <w:rFonts w:cs="Arial"/>
          <w:szCs w:val="24"/>
        </w:rPr>
        <w:t>en matière d’appel sur autorisation</w:t>
      </w:r>
      <w:r w:rsidRPr="0029067C">
        <w:rPr>
          <w:rFonts w:cs="Arial"/>
          <w:szCs w:val="24"/>
        </w:rPr>
        <w:t>, comme en l</w:t>
      </w:r>
      <w:r>
        <w:rPr>
          <w:rFonts w:cs="Arial"/>
          <w:szCs w:val="24"/>
        </w:rPr>
        <w:t>’</w:t>
      </w:r>
      <w:r w:rsidRPr="0029067C">
        <w:rPr>
          <w:rFonts w:cs="Arial"/>
          <w:szCs w:val="24"/>
        </w:rPr>
        <w:t>espèce, le PGQ peut solliciter l</w:t>
      </w:r>
      <w:r>
        <w:rPr>
          <w:rFonts w:cs="Arial"/>
          <w:szCs w:val="24"/>
        </w:rPr>
        <w:t>’</w:t>
      </w:r>
      <w:r w:rsidRPr="0029067C">
        <w:rPr>
          <w:rFonts w:cs="Arial"/>
          <w:szCs w:val="24"/>
        </w:rPr>
        <w:t>autorisation d</w:t>
      </w:r>
      <w:r>
        <w:rPr>
          <w:rFonts w:cs="Arial"/>
          <w:szCs w:val="24"/>
        </w:rPr>
        <w:t>’</w:t>
      </w:r>
      <w:r w:rsidRPr="0029067C">
        <w:rPr>
          <w:rFonts w:cs="Arial"/>
          <w:szCs w:val="24"/>
        </w:rPr>
        <w:t xml:space="preserve">interjeter appel de la sentence et </w:t>
      </w:r>
      <w:r w:rsidRPr="006B1318">
        <w:rPr>
          <w:rFonts w:cs="Arial"/>
          <w:szCs w:val="24"/>
        </w:rPr>
        <w:t xml:space="preserve">le PGQ </w:t>
      </w:r>
      <w:r>
        <w:rPr>
          <w:rFonts w:cs="Arial"/>
          <w:szCs w:val="24"/>
        </w:rPr>
        <w:t>et</w:t>
      </w:r>
      <w:r w:rsidRPr="006B1318">
        <w:rPr>
          <w:rFonts w:cs="Arial"/>
          <w:szCs w:val="24"/>
        </w:rPr>
        <w:t xml:space="preserve"> le DPCP ne peuvent</w:t>
      </w:r>
      <w:r w:rsidRPr="0029067C">
        <w:rPr>
          <w:rFonts w:cs="Arial"/>
          <w:szCs w:val="24"/>
        </w:rPr>
        <w:t xml:space="preserve"> agir qu</w:t>
      </w:r>
      <w:r>
        <w:rPr>
          <w:rFonts w:cs="Arial"/>
          <w:szCs w:val="24"/>
        </w:rPr>
        <w:t>e si</w:t>
      </w:r>
      <w:r w:rsidRPr="0029067C">
        <w:rPr>
          <w:rFonts w:cs="Arial"/>
          <w:szCs w:val="24"/>
        </w:rPr>
        <w:t xml:space="preserve"> l</w:t>
      </w:r>
      <w:r>
        <w:rPr>
          <w:rFonts w:cs="Arial"/>
          <w:szCs w:val="24"/>
        </w:rPr>
        <w:t>’</w:t>
      </w:r>
      <w:r w:rsidRPr="0029067C">
        <w:rPr>
          <w:rFonts w:cs="Arial"/>
          <w:szCs w:val="24"/>
        </w:rPr>
        <w:t xml:space="preserve">autorisation </w:t>
      </w:r>
      <w:r>
        <w:rPr>
          <w:rFonts w:cs="Arial"/>
          <w:szCs w:val="24"/>
        </w:rPr>
        <w:t xml:space="preserve">est </w:t>
      </w:r>
      <w:r w:rsidRPr="0029067C">
        <w:rPr>
          <w:rFonts w:cs="Arial"/>
          <w:szCs w:val="24"/>
        </w:rPr>
        <w:t>accordée. Je suis d</w:t>
      </w:r>
      <w:r>
        <w:rPr>
          <w:rFonts w:cs="Arial"/>
          <w:szCs w:val="24"/>
        </w:rPr>
        <w:t>’</w:t>
      </w:r>
      <w:r w:rsidRPr="0029067C">
        <w:rPr>
          <w:rFonts w:cs="Arial"/>
          <w:szCs w:val="24"/>
        </w:rPr>
        <w:t>avis que l</w:t>
      </w:r>
      <w:r>
        <w:rPr>
          <w:rFonts w:cs="Arial"/>
          <w:szCs w:val="24"/>
        </w:rPr>
        <w:t>’</w:t>
      </w:r>
      <w:r w:rsidRPr="0029067C">
        <w:rPr>
          <w:rFonts w:cs="Arial"/>
          <w:szCs w:val="24"/>
        </w:rPr>
        <w:t xml:space="preserve">autorisation peut être accordée </w:t>
      </w:r>
      <w:r>
        <w:rPr>
          <w:rFonts w:cs="Arial"/>
          <w:szCs w:val="24"/>
        </w:rPr>
        <w:t>à chacun d’</w:t>
      </w:r>
      <w:r w:rsidRPr="0029067C">
        <w:rPr>
          <w:rFonts w:cs="Arial"/>
          <w:szCs w:val="24"/>
        </w:rPr>
        <w:t>eux</w:t>
      </w:r>
      <w:r>
        <w:rPr>
          <w:rFonts w:cs="Arial"/>
          <w:szCs w:val="24"/>
        </w:rPr>
        <w:t>, mais elle peut aussi</w:t>
      </w:r>
      <w:r w:rsidRPr="0029067C">
        <w:rPr>
          <w:rFonts w:cs="Arial"/>
          <w:szCs w:val="24"/>
        </w:rPr>
        <w:t xml:space="preserve"> être refusée au PGQ si les arguments qu</w:t>
      </w:r>
      <w:r>
        <w:rPr>
          <w:rFonts w:cs="Arial"/>
          <w:szCs w:val="24"/>
        </w:rPr>
        <w:t>’</w:t>
      </w:r>
      <w:r w:rsidRPr="0029067C">
        <w:rPr>
          <w:rFonts w:cs="Arial"/>
          <w:szCs w:val="24"/>
        </w:rPr>
        <w:t xml:space="preserve">il soulève ne sont pas différents de ceux du DPCP. </w:t>
      </w:r>
      <w:r>
        <w:rPr>
          <w:rFonts w:cs="Arial"/>
          <w:szCs w:val="24"/>
        </w:rPr>
        <w:t>À l’i</w:t>
      </w:r>
      <w:r w:rsidRPr="0029067C">
        <w:rPr>
          <w:rFonts w:cs="Arial"/>
          <w:szCs w:val="24"/>
        </w:rPr>
        <w:t xml:space="preserve">nverse, si le PGQ ne sollicite pas </w:t>
      </w:r>
      <w:r>
        <w:rPr>
          <w:rFonts w:cs="Arial"/>
          <w:szCs w:val="24"/>
        </w:rPr>
        <w:t>l’</w:t>
      </w:r>
      <w:r w:rsidRPr="0029067C">
        <w:rPr>
          <w:rFonts w:cs="Arial"/>
          <w:szCs w:val="24"/>
        </w:rPr>
        <w:t>autorisation, le DPCP peut présenter tous les arguments qu</w:t>
      </w:r>
      <w:r>
        <w:rPr>
          <w:rFonts w:cs="Arial"/>
          <w:szCs w:val="24"/>
        </w:rPr>
        <w:t>’</w:t>
      </w:r>
      <w:r w:rsidRPr="0029067C">
        <w:rPr>
          <w:rFonts w:cs="Arial"/>
          <w:szCs w:val="24"/>
        </w:rPr>
        <w:t xml:space="preserve">il souhaite </w:t>
      </w:r>
      <w:r>
        <w:rPr>
          <w:rFonts w:cs="Arial"/>
          <w:szCs w:val="24"/>
        </w:rPr>
        <w:t xml:space="preserve">tant à l’appui de la poursuite </w:t>
      </w:r>
      <w:r w:rsidRPr="0029067C">
        <w:rPr>
          <w:rFonts w:cs="Arial"/>
          <w:szCs w:val="24"/>
        </w:rPr>
        <w:t>engagée en vertu des lois valides</w:t>
      </w:r>
      <w:r>
        <w:rPr>
          <w:rFonts w:cs="Arial"/>
          <w:szCs w:val="24"/>
        </w:rPr>
        <w:t xml:space="preserve"> qu’en défense de</w:t>
      </w:r>
      <w:r w:rsidRPr="0029067C">
        <w:rPr>
          <w:rFonts w:cs="Arial"/>
          <w:szCs w:val="24"/>
        </w:rPr>
        <w:t xml:space="preserve"> la validité d</w:t>
      </w:r>
      <w:r>
        <w:rPr>
          <w:rFonts w:cs="Arial"/>
          <w:szCs w:val="24"/>
        </w:rPr>
        <w:t>’une règle de droit</w:t>
      </w:r>
      <w:r w:rsidRPr="0029067C">
        <w:rPr>
          <w:rFonts w:cs="Arial"/>
          <w:szCs w:val="24"/>
        </w:rPr>
        <w:t>.</w:t>
      </w:r>
    </w:p>
    <w:p w14:paraId="3348FAEF" w14:textId="77777777" w:rsidR="005C67B6" w:rsidRPr="00382B09" w:rsidRDefault="005C67B6" w:rsidP="005C67B6">
      <w:pPr>
        <w:pStyle w:val="Paragraphe"/>
        <w:spacing w:line="240" w:lineRule="auto"/>
        <w:rPr>
          <w:rFonts w:cs="Arial"/>
          <w:szCs w:val="24"/>
        </w:rPr>
      </w:pPr>
      <w:r w:rsidRPr="00377607">
        <w:rPr>
          <w:rFonts w:cs="Arial"/>
          <w:szCs w:val="24"/>
        </w:rPr>
        <w:t>Que le PGQ ou le DPCP agisse seul ou qu</w:t>
      </w:r>
      <w:r>
        <w:rPr>
          <w:rFonts w:cs="Arial"/>
          <w:szCs w:val="24"/>
        </w:rPr>
        <w:t>’</w:t>
      </w:r>
      <w:r w:rsidRPr="00377607">
        <w:rPr>
          <w:rFonts w:cs="Arial"/>
          <w:szCs w:val="24"/>
        </w:rPr>
        <w:t>ils agissent ensemble n</w:t>
      </w:r>
      <w:r>
        <w:rPr>
          <w:rFonts w:cs="Arial"/>
          <w:szCs w:val="24"/>
        </w:rPr>
        <w:t>’</w:t>
      </w:r>
      <w:r w:rsidRPr="00377607">
        <w:rPr>
          <w:rFonts w:cs="Arial"/>
          <w:szCs w:val="24"/>
        </w:rPr>
        <w:t>entraîne de toute façon que peu de conséquences concrètes. Dans le cours normal d</w:t>
      </w:r>
      <w:r>
        <w:rPr>
          <w:rFonts w:cs="Arial"/>
          <w:szCs w:val="24"/>
        </w:rPr>
        <w:t>’</w:t>
      </w:r>
      <w:r w:rsidRPr="00377607">
        <w:rPr>
          <w:rFonts w:cs="Arial"/>
          <w:szCs w:val="24"/>
        </w:rPr>
        <w:t>une poursuite criminelle, on s</w:t>
      </w:r>
      <w:r>
        <w:rPr>
          <w:rFonts w:cs="Arial"/>
          <w:szCs w:val="24"/>
        </w:rPr>
        <w:t>’</w:t>
      </w:r>
      <w:r w:rsidRPr="00377607">
        <w:rPr>
          <w:rFonts w:cs="Arial"/>
          <w:szCs w:val="24"/>
        </w:rPr>
        <w:t>attend à ce que le DPCP traite de tous les points qui sont en litige. À moins que le PGQ ne se prévale de la possibilité prévue à l</w:t>
      </w:r>
      <w:r>
        <w:rPr>
          <w:rFonts w:cs="Arial"/>
          <w:szCs w:val="24"/>
        </w:rPr>
        <w:t>’</w:t>
      </w:r>
      <w:r w:rsidRPr="00377607">
        <w:rPr>
          <w:rFonts w:cs="Arial"/>
          <w:szCs w:val="24"/>
        </w:rPr>
        <w:t xml:space="preserve">article 23 de la </w:t>
      </w:r>
      <w:r w:rsidRPr="00377607">
        <w:rPr>
          <w:rFonts w:cs="Arial"/>
          <w:i/>
          <w:iCs/>
          <w:szCs w:val="24"/>
        </w:rPr>
        <w:t>Loi sur le DPCP,</w:t>
      </w:r>
      <w:r w:rsidRPr="00377607">
        <w:rPr>
          <w:rFonts w:cs="Arial"/>
          <w:szCs w:val="24"/>
        </w:rPr>
        <w:t xml:space="preserve"> </w:t>
      </w:r>
      <w:r>
        <w:rPr>
          <w:rFonts w:cs="Arial"/>
          <w:szCs w:val="24"/>
        </w:rPr>
        <w:t>il</w:t>
      </w:r>
      <w:r w:rsidRPr="00377607">
        <w:rPr>
          <w:rFonts w:cs="Arial"/>
          <w:szCs w:val="24"/>
        </w:rPr>
        <w:t xml:space="preserve"> devrait normalement agir comme intervenant ou comme partie non pas pour faire valoir ses arguments sur la validité du verdict ou de la peine, mais bien sur la validité de la loi ou de la règle de droit. C</w:t>
      </w:r>
      <w:r>
        <w:rPr>
          <w:rFonts w:cs="Arial"/>
          <w:szCs w:val="24"/>
        </w:rPr>
        <w:t>’</w:t>
      </w:r>
      <w:r w:rsidRPr="00377607">
        <w:rPr>
          <w:rFonts w:cs="Arial"/>
          <w:szCs w:val="24"/>
        </w:rPr>
        <w:t xml:space="preserve">est une question de convention. </w:t>
      </w:r>
    </w:p>
    <w:p w14:paraId="11CF7D91" w14:textId="77777777" w:rsidR="005C67B6" w:rsidRPr="00EB28CD" w:rsidRDefault="005C67B6" w:rsidP="005C67B6">
      <w:pPr>
        <w:pStyle w:val="Paragraphe"/>
        <w:spacing w:line="240" w:lineRule="auto"/>
        <w:rPr>
          <w:rFonts w:cs="Arial"/>
          <w:szCs w:val="24"/>
        </w:rPr>
      </w:pPr>
      <w:r w:rsidRPr="00377607">
        <w:rPr>
          <w:rFonts w:cs="Arial"/>
          <w:szCs w:val="24"/>
        </w:rPr>
        <w:t>Trois éléments appuient la conclusion voulant que le PGQ puisse solliciter l</w:t>
      </w:r>
      <w:r>
        <w:rPr>
          <w:rFonts w:cs="Arial"/>
          <w:szCs w:val="24"/>
        </w:rPr>
        <w:t>’</w:t>
      </w:r>
      <w:r w:rsidRPr="00377607">
        <w:rPr>
          <w:rFonts w:cs="Arial"/>
          <w:szCs w:val="24"/>
        </w:rPr>
        <w:t>autorisation d</w:t>
      </w:r>
      <w:r>
        <w:rPr>
          <w:rFonts w:cs="Arial"/>
          <w:szCs w:val="24"/>
        </w:rPr>
        <w:t>’</w:t>
      </w:r>
      <w:r w:rsidRPr="00377607">
        <w:rPr>
          <w:rFonts w:cs="Arial"/>
          <w:szCs w:val="24"/>
        </w:rPr>
        <w:t>interjeter appel comme partie dans un appel entrepris par le DPCP : l</w:t>
      </w:r>
      <w:r>
        <w:rPr>
          <w:rFonts w:cs="Arial"/>
          <w:szCs w:val="24"/>
        </w:rPr>
        <w:t>’</w:t>
      </w:r>
      <w:r w:rsidRPr="00377607">
        <w:rPr>
          <w:rFonts w:cs="Arial"/>
          <w:szCs w:val="24"/>
        </w:rPr>
        <w:t>évolution de la fonction de procureur général en tant que premier conseiller juridique de l</w:t>
      </w:r>
      <w:r>
        <w:rPr>
          <w:rFonts w:cs="Arial"/>
          <w:szCs w:val="24"/>
        </w:rPr>
        <w:t>’</w:t>
      </w:r>
      <w:r w:rsidRPr="00377607">
        <w:rPr>
          <w:rFonts w:cs="Arial"/>
          <w:szCs w:val="24"/>
        </w:rPr>
        <w:t xml:space="preserve">État, le cadre législatif québécois régissant les fonctions de PGQ et de DPCP, et la pratique actuelle. </w:t>
      </w:r>
    </w:p>
    <w:p w14:paraId="6010D5E0" w14:textId="77777777" w:rsidR="005C67B6" w:rsidRPr="00377607" w:rsidRDefault="005C67B6" w:rsidP="005C67B6">
      <w:pPr>
        <w:pStyle w:val="Paragraphe"/>
        <w:numPr>
          <w:ilvl w:val="0"/>
          <w:numId w:val="0"/>
        </w:numPr>
        <w:spacing w:line="240" w:lineRule="auto"/>
        <w:rPr>
          <w:rFonts w:cs="Arial"/>
          <w:b/>
          <w:bCs/>
          <w:szCs w:val="24"/>
        </w:rPr>
      </w:pPr>
      <w:r w:rsidRPr="00377607">
        <w:rPr>
          <w:rFonts w:cs="Arial"/>
          <w:b/>
          <w:bCs/>
          <w:szCs w:val="24"/>
        </w:rPr>
        <w:t>Aperçu historique</w:t>
      </w:r>
    </w:p>
    <w:p w14:paraId="00E9E70B" w14:textId="77777777" w:rsidR="005C67B6" w:rsidRPr="00EB28CD" w:rsidRDefault="005C67B6" w:rsidP="005C67B6">
      <w:pPr>
        <w:pStyle w:val="Paragraphe"/>
        <w:spacing w:line="240" w:lineRule="auto"/>
        <w:rPr>
          <w:rFonts w:cs="Arial"/>
          <w:szCs w:val="24"/>
        </w:rPr>
      </w:pPr>
      <w:r w:rsidRPr="00377607">
        <w:rPr>
          <w:rFonts w:cs="Arial"/>
          <w:szCs w:val="24"/>
        </w:rPr>
        <w:t>En Angleterre, c</w:t>
      </w:r>
      <w:r>
        <w:rPr>
          <w:rFonts w:cs="Arial"/>
          <w:szCs w:val="24"/>
        </w:rPr>
        <w:t>’</w:t>
      </w:r>
      <w:r w:rsidRPr="00377607">
        <w:rPr>
          <w:rFonts w:cs="Arial"/>
          <w:szCs w:val="24"/>
        </w:rPr>
        <w:t xml:space="preserve">est vers le treizième siècle ou avant que </w:t>
      </w:r>
      <w:r>
        <w:rPr>
          <w:rFonts w:cs="Arial"/>
          <w:szCs w:val="24"/>
        </w:rPr>
        <w:t xml:space="preserve">le procureur général a commencé à engager </w:t>
      </w:r>
      <w:r w:rsidRPr="00377607">
        <w:rPr>
          <w:rFonts w:cs="Arial"/>
          <w:szCs w:val="24"/>
        </w:rPr>
        <w:t>des poursuites criminelles</w:t>
      </w:r>
      <w:r>
        <w:rPr>
          <w:rStyle w:val="Appelnotedebasdep"/>
          <w:rFonts w:cs="Arial"/>
          <w:szCs w:val="24"/>
        </w:rPr>
        <w:footnoteReference w:id="9"/>
      </w:r>
      <w:r>
        <w:rPr>
          <w:rFonts w:cs="Arial"/>
          <w:szCs w:val="24"/>
        </w:rPr>
        <w:t>.</w:t>
      </w:r>
      <w:r w:rsidRPr="00377607">
        <w:rPr>
          <w:rFonts w:cs="Arial"/>
          <w:szCs w:val="24"/>
        </w:rPr>
        <w:t xml:space="preserve"> L</w:t>
      </w:r>
      <w:r>
        <w:rPr>
          <w:rFonts w:cs="Arial"/>
          <w:szCs w:val="24"/>
        </w:rPr>
        <w:t>’</w:t>
      </w:r>
      <w:r w:rsidRPr="00377607">
        <w:rPr>
          <w:rFonts w:cs="Arial"/>
          <w:szCs w:val="24"/>
        </w:rPr>
        <w:t>exercice de ce pouvoir découlait de la prérogative royale et c</w:t>
      </w:r>
      <w:r>
        <w:rPr>
          <w:rFonts w:cs="Arial"/>
          <w:szCs w:val="24"/>
        </w:rPr>
        <w:t>’</w:t>
      </w:r>
      <w:r w:rsidRPr="00377607">
        <w:rPr>
          <w:rFonts w:cs="Arial"/>
          <w:szCs w:val="24"/>
        </w:rPr>
        <w:t xml:space="preserve">était au nom du Roi que le procureur général engageait des poursuites </w:t>
      </w:r>
      <w:r>
        <w:rPr>
          <w:rFonts w:cs="Arial"/>
          <w:szCs w:val="24"/>
        </w:rPr>
        <w:t>afin de veiller au maintien de la paix</w:t>
      </w:r>
      <w:r w:rsidRPr="00377607">
        <w:rPr>
          <w:rFonts w:cs="Arial"/>
          <w:szCs w:val="24"/>
        </w:rPr>
        <w:t>. Pendant des siècles, le procureur général dirigeait les procès auxquels participaient l</w:t>
      </w:r>
      <w:r>
        <w:rPr>
          <w:rFonts w:cs="Arial"/>
          <w:szCs w:val="24"/>
        </w:rPr>
        <w:t>’</w:t>
      </w:r>
      <w:r w:rsidRPr="00377607">
        <w:rPr>
          <w:rFonts w:cs="Arial"/>
          <w:szCs w:val="24"/>
        </w:rPr>
        <w:t>État et agissait comme représentant de l</w:t>
      </w:r>
      <w:r>
        <w:rPr>
          <w:rFonts w:cs="Arial"/>
          <w:szCs w:val="24"/>
        </w:rPr>
        <w:t>’</w:t>
      </w:r>
      <w:r w:rsidRPr="00377607">
        <w:rPr>
          <w:rFonts w:cs="Arial"/>
          <w:szCs w:val="24"/>
        </w:rPr>
        <w:t>État dans les autres dossiers à titre de premier conseiller juridique</w:t>
      </w:r>
      <w:r>
        <w:rPr>
          <w:rFonts w:cs="Arial"/>
          <w:szCs w:val="24"/>
        </w:rPr>
        <w:t>.</w:t>
      </w:r>
      <w:r w:rsidRPr="00377607">
        <w:rPr>
          <w:rFonts w:cs="Arial"/>
          <w:szCs w:val="24"/>
        </w:rPr>
        <w:t xml:space="preserve"> Le procureur général était l</w:t>
      </w:r>
      <w:r>
        <w:rPr>
          <w:rFonts w:cs="Arial"/>
          <w:szCs w:val="24"/>
        </w:rPr>
        <w:t>’</w:t>
      </w:r>
      <w:r w:rsidRPr="00377607">
        <w:rPr>
          <w:rFonts w:cs="Arial"/>
          <w:szCs w:val="24"/>
        </w:rPr>
        <w:t xml:space="preserve">avocat du roi. </w:t>
      </w:r>
    </w:p>
    <w:p w14:paraId="28513D5B" w14:textId="77777777" w:rsidR="005C67B6" w:rsidRPr="00A014FF" w:rsidRDefault="005C67B6" w:rsidP="005C67B6">
      <w:pPr>
        <w:pStyle w:val="Paragraphe"/>
        <w:numPr>
          <w:ilvl w:val="0"/>
          <w:numId w:val="0"/>
        </w:numPr>
        <w:spacing w:line="240" w:lineRule="auto"/>
        <w:ind w:left="731"/>
        <w:rPr>
          <w:rFonts w:cs="Arial"/>
          <w:sz w:val="22"/>
          <w:szCs w:val="22"/>
          <w:lang w:val="en-CA"/>
        </w:rPr>
      </w:pPr>
      <w:r w:rsidRPr="00A014FF">
        <w:rPr>
          <w:rFonts w:cs="Arial"/>
          <w:sz w:val="22"/>
          <w:szCs w:val="22"/>
          <w:lang w:val="en-CA"/>
        </w:rPr>
        <w:t xml:space="preserve">By our constitution, the King is entrusted with the prosecution of all crimes which disturb the peace and order of society. </w:t>
      </w:r>
    </w:p>
    <w:p w14:paraId="4FAB93EA" w14:textId="77777777" w:rsidR="005C67B6" w:rsidRPr="00A014FF" w:rsidRDefault="005C67B6" w:rsidP="005C67B6">
      <w:pPr>
        <w:pStyle w:val="Paragraphe"/>
        <w:numPr>
          <w:ilvl w:val="0"/>
          <w:numId w:val="0"/>
        </w:numPr>
        <w:spacing w:line="240" w:lineRule="auto"/>
        <w:ind w:left="731"/>
        <w:rPr>
          <w:rFonts w:cs="Arial"/>
          <w:sz w:val="22"/>
          <w:szCs w:val="22"/>
          <w:lang w:val="en-CA"/>
        </w:rPr>
      </w:pPr>
      <w:r w:rsidRPr="00A014FF">
        <w:rPr>
          <w:rFonts w:cs="Arial"/>
          <w:sz w:val="22"/>
          <w:szCs w:val="22"/>
          <w:lang w:val="en-CA"/>
        </w:rPr>
        <w:t>[…]</w:t>
      </w:r>
    </w:p>
    <w:p w14:paraId="045664C5" w14:textId="77777777" w:rsidR="005C67B6" w:rsidRPr="00A014FF" w:rsidRDefault="005C67B6" w:rsidP="005C67B6">
      <w:pPr>
        <w:pStyle w:val="Paragraphe"/>
        <w:numPr>
          <w:ilvl w:val="0"/>
          <w:numId w:val="0"/>
        </w:numPr>
        <w:spacing w:line="240" w:lineRule="auto"/>
        <w:ind w:left="731"/>
        <w:rPr>
          <w:rFonts w:cs="Arial"/>
          <w:sz w:val="22"/>
          <w:szCs w:val="22"/>
          <w:lang w:val="en-CA"/>
        </w:rPr>
      </w:pPr>
      <w:r w:rsidRPr="00A014FF">
        <w:rPr>
          <w:rFonts w:cs="Arial"/>
          <w:sz w:val="22"/>
          <w:szCs w:val="22"/>
          <w:lang w:val="en-CA"/>
        </w:rPr>
        <w:t>As indictments and informations, granted by the King’s Bench, are the King’s suits, and under his control; informations, filed by his Attorney General, are most emphatically his suits, because they are the immediate emanations of his will and pleasure.</w:t>
      </w:r>
      <w:r w:rsidRPr="00A014FF">
        <w:rPr>
          <w:rStyle w:val="Appelnotedebasdep"/>
          <w:rFonts w:cs="Arial"/>
          <w:sz w:val="22"/>
          <w:szCs w:val="22"/>
        </w:rPr>
        <w:footnoteReference w:id="10"/>
      </w:r>
    </w:p>
    <w:p w14:paraId="016492D1" w14:textId="77777777" w:rsidR="005C67B6" w:rsidRPr="00EB28CD" w:rsidRDefault="005C67B6" w:rsidP="005C67B6">
      <w:pPr>
        <w:pStyle w:val="Paragraphe"/>
        <w:spacing w:line="240" w:lineRule="auto"/>
        <w:rPr>
          <w:rFonts w:cs="Arial"/>
          <w:szCs w:val="24"/>
        </w:rPr>
      </w:pPr>
      <w:r w:rsidRPr="00377607">
        <w:rPr>
          <w:rFonts w:cs="Arial"/>
          <w:szCs w:val="24"/>
        </w:rPr>
        <w:t>Si le fond de cette déclaration n</w:t>
      </w:r>
      <w:r>
        <w:rPr>
          <w:rFonts w:cs="Arial"/>
          <w:szCs w:val="24"/>
        </w:rPr>
        <w:t>’</w:t>
      </w:r>
      <w:r w:rsidRPr="00377607">
        <w:rPr>
          <w:rFonts w:cs="Arial"/>
          <w:szCs w:val="24"/>
        </w:rPr>
        <w:t>a jamais été remis en question jusqu</w:t>
      </w:r>
      <w:r>
        <w:rPr>
          <w:rFonts w:cs="Arial"/>
          <w:szCs w:val="24"/>
        </w:rPr>
        <w:t>’</w:t>
      </w:r>
      <w:r w:rsidRPr="00377607">
        <w:rPr>
          <w:rFonts w:cs="Arial"/>
          <w:szCs w:val="24"/>
        </w:rPr>
        <w:t>à la deuxième moitié du dix-neuvième siècle, les poursuites criminelles étaient toutefois typiquement des poursuites privées</w:t>
      </w:r>
      <w:r>
        <w:rPr>
          <w:rStyle w:val="Appelnotedebasdep"/>
          <w:rFonts w:cs="Arial"/>
          <w:szCs w:val="24"/>
        </w:rPr>
        <w:footnoteReference w:id="11"/>
      </w:r>
      <w:r>
        <w:rPr>
          <w:rFonts w:cs="Arial"/>
          <w:szCs w:val="24"/>
        </w:rPr>
        <w:t>.</w:t>
      </w:r>
      <w:r w:rsidRPr="00377607">
        <w:rPr>
          <w:rFonts w:cs="Arial"/>
          <w:szCs w:val="24"/>
        </w:rPr>
        <w:t xml:space="preserve"> Différentes suggestions et propositions de modèle</w:t>
      </w:r>
      <w:r>
        <w:rPr>
          <w:rFonts w:cs="Arial"/>
          <w:szCs w:val="24"/>
        </w:rPr>
        <w:t>s</w:t>
      </w:r>
      <w:r w:rsidRPr="00377607">
        <w:rPr>
          <w:rFonts w:cs="Arial"/>
          <w:szCs w:val="24"/>
        </w:rPr>
        <w:t xml:space="preserve"> de poursuites publiques ont fait l</w:t>
      </w:r>
      <w:r>
        <w:rPr>
          <w:rFonts w:cs="Arial"/>
          <w:szCs w:val="24"/>
        </w:rPr>
        <w:t>’</w:t>
      </w:r>
      <w:r w:rsidRPr="00377607">
        <w:rPr>
          <w:rFonts w:cs="Arial"/>
          <w:szCs w:val="24"/>
        </w:rPr>
        <w:t>objet de débats à différentes époques, dont certain</w:t>
      </w:r>
      <w:r>
        <w:rPr>
          <w:rFonts w:cs="Arial"/>
          <w:szCs w:val="24"/>
        </w:rPr>
        <w:t>e</w:t>
      </w:r>
      <w:r w:rsidRPr="00377607">
        <w:rPr>
          <w:rFonts w:cs="Arial"/>
          <w:szCs w:val="24"/>
        </w:rPr>
        <w:t xml:space="preserve">s devant le Parlement. Un premier modèle de poursuites publiques a été adopté en 1879 dans une loi intitulée </w:t>
      </w:r>
      <w:r w:rsidRPr="00377607">
        <w:rPr>
          <w:rFonts w:cs="Arial"/>
          <w:i/>
          <w:iCs/>
          <w:szCs w:val="24"/>
        </w:rPr>
        <w:t>Prosecution of Offences Act</w:t>
      </w:r>
      <w:r>
        <w:rPr>
          <w:rStyle w:val="Appelnotedebasdep"/>
          <w:rFonts w:cs="Arial"/>
          <w:szCs w:val="24"/>
        </w:rPr>
        <w:footnoteReference w:id="12"/>
      </w:r>
      <w:r>
        <w:rPr>
          <w:rFonts w:cs="Arial"/>
          <w:i/>
          <w:iCs/>
          <w:szCs w:val="24"/>
        </w:rPr>
        <w:t>.</w:t>
      </w:r>
      <w:r w:rsidRPr="00377607">
        <w:rPr>
          <w:rFonts w:cs="Arial"/>
          <w:szCs w:val="24"/>
        </w:rPr>
        <w:t xml:space="preserve"> Celle-ci crée la charge de </w:t>
      </w:r>
      <w:r>
        <w:rPr>
          <w:rFonts w:cs="Arial"/>
          <w:szCs w:val="24"/>
        </w:rPr>
        <w:t>d</w:t>
      </w:r>
      <w:r w:rsidRPr="00377607">
        <w:rPr>
          <w:rFonts w:cs="Arial"/>
          <w:szCs w:val="24"/>
        </w:rPr>
        <w:t>irecteur des poursuites publiques (</w:t>
      </w:r>
      <w:r w:rsidRPr="00377607">
        <w:rPr>
          <w:rFonts w:cs="Arial"/>
          <w:i/>
          <w:iCs/>
          <w:szCs w:val="24"/>
        </w:rPr>
        <w:t>Director of Public Prosecutions</w:t>
      </w:r>
      <w:r w:rsidRPr="00377607">
        <w:rPr>
          <w:rFonts w:cs="Arial"/>
          <w:szCs w:val="24"/>
        </w:rPr>
        <w:t>, « DPP ») et précise que ce directeur agit sous la « surveillance » (</w:t>
      </w:r>
      <w:r w:rsidRPr="00377607">
        <w:rPr>
          <w:rFonts w:cs="Arial"/>
          <w:i/>
          <w:iCs/>
          <w:szCs w:val="24"/>
        </w:rPr>
        <w:t xml:space="preserve">superintendence </w:t>
      </w:r>
      <w:r w:rsidRPr="00377607">
        <w:rPr>
          <w:rFonts w:cs="Arial"/>
          <w:szCs w:val="24"/>
        </w:rPr>
        <w:t>dans la version anglaise originale) du procureur général</w:t>
      </w:r>
      <w:r>
        <w:rPr>
          <w:rStyle w:val="Appelnotedebasdep"/>
          <w:rFonts w:cs="Arial"/>
          <w:szCs w:val="24"/>
        </w:rPr>
        <w:footnoteReference w:id="13"/>
      </w:r>
      <w:r>
        <w:rPr>
          <w:rFonts w:cs="Arial"/>
          <w:szCs w:val="24"/>
        </w:rPr>
        <w:t>.</w:t>
      </w:r>
    </w:p>
    <w:p w14:paraId="0A6106B7" w14:textId="77777777" w:rsidR="005C67B6" w:rsidRPr="00EB28CD" w:rsidRDefault="005C67B6" w:rsidP="005C67B6">
      <w:pPr>
        <w:pStyle w:val="Paragraphe"/>
        <w:spacing w:line="240" w:lineRule="auto"/>
        <w:rPr>
          <w:rFonts w:cs="Arial"/>
          <w:szCs w:val="24"/>
        </w:rPr>
      </w:pPr>
      <w:r w:rsidRPr="00377607">
        <w:rPr>
          <w:rFonts w:cs="Arial"/>
          <w:szCs w:val="24"/>
        </w:rPr>
        <w:t xml:space="preserve">Les fonctions du DPP se sont </w:t>
      </w:r>
      <w:r>
        <w:rPr>
          <w:rFonts w:cs="Arial"/>
          <w:szCs w:val="24"/>
        </w:rPr>
        <w:t>progressiv</w:t>
      </w:r>
      <w:r w:rsidRPr="00377607">
        <w:rPr>
          <w:rFonts w:cs="Arial"/>
          <w:szCs w:val="24"/>
        </w:rPr>
        <w:t xml:space="preserve">ement </w:t>
      </w:r>
      <w:r>
        <w:rPr>
          <w:rFonts w:cs="Arial"/>
          <w:szCs w:val="24"/>
        </w:rPr>
        <w:t>développée</w:t>
      </w:r>
      <w:r w:rsidRPr="00377607">
        <w:rPr>
          <w:rFonts w:cs="Arial"/>
          <w:szCs w:val="24"/>
        </w:rPr>
        <w:t>s, mais le principe hiérarchique selon lequel il agit sous la surveillance du procureur général est demeuré le même. Une autre différence importante est que le procureur général n</w:t>
      </w:r>
      <w:r>
        <w:rPr>
          <w:rFonts w:cs="Arial"/>
          <w:szCs w:val="24"/>
        </w:rPr>
        <w:t>’</w:t>
      </w:r>
      <w:r w:rsidRPr="00377607">
        <w:rPr>
          <w:rFonts w:cs="Arial"/>
          <w:szCs w:val="24"/>
        </w:rPr>
        <w:t xml:space="preserve">était pas membre du cabinet, mais il était élu et </w:t>
      </w:r>
      <w:r>
        <w:rPr>
          <w:rFonts w:cs="Arial"/>
          <w:szCs w:val="24"/>
        </w:rPr>
        <w:t>devait rendre compte au</w:t>
      </w:r>
      <w:r w:rsidRPr="00377607">
        <w:rPr>
          <w:rFonts w:cs="Arial"/>
          <w:szCs w:val="24"/>
        </w:rPr>
        <w:t xml:space="preserve"> Parlement. Il était le premier conseiller juridique de l</w:t>
      </w:r>
      <w:r>
        <w:rPr>
          <w:rFonts w:cs="Arial"/>
          <w:szCs w:val="24"/>
        </w:rPr>
        <w:t>’</w:t>
      </w:r>
      <w:r w:rsidRPr="00377607">
        <w:rPr>
          <w:rFonts w:cs="Arial"/>
          <w:szCs w:val="24"/>
        </w:rPr>
        <w:t>État, et représentait ce dernier dans toutes les causes devant les tribunaux, mais les affaires politiques du ressort du secrétaire de l</w:t>
      </w:r>
      <w:r>
        <w:rPr>
          <w:rFonts w:cs="Arial"/>
          <w:szCs w:val="24"/>
        </w:rPr>
        <w:t>’i</w:t>
      </w:r>
      <w:r w:rsidRPr="00377607">
        <w:rPr>
          <w:rFonts w:cs="Arial"/>
          <w:szCs w:val="24"/>
        </w:rPr>
        <w:t xml:space="preserve">ntérieur et des autres ministres du cabinet ne relevaient pas de lui. La division de </w:t>
      </w:r>
      <w:r>
        <w:rPr>
          <w:rFonts w:cs="Arial"/>
          <w:szCs w:val="24"/>
        </w:rPr>
        <w:t>c</w:t>
      </w:r>
      <w:r w:rsidRPr="00377607">
        <w:rPr>
          <w:rFonts w:cs="Arial"/>
          <w:szCs w:val="24"/>
        </w:rPr>
        <w:t xml:space="preserve">es fonctions était une convention gouvernementale découlant de la prérogative du souverain </w:t>
      </w:r>
      <w:r>
        <w:rPr>
          <w:rFonts w:cs="Arial"/>
          <w:szCs w:val="24"/>
        </w:rPr>
        <w:t>et</w:t>
      </w:r>
      <w:r w:rsidRPr="00377607">
        <w:rPr>
          <w:rFonts w:cs="Arial"/>
          <w:szCs w:val="24"/>
        </w:rPr>
        <w:t xml:space="preserve"> n</w:t>
      </w:r>
      <w:r>
        <w:rPr>
          <w:rFonts w:cs="Arial"/>
          <w:szCs w:val="24"/>
        </w:rPr>
        <w:t>’</w:t>
      </w:r>
      <w:r w:rsidRPr="00377607">
        <w:rPr>
          <w:rFonts w:cs="Arial"/>
          <w:szCs w:val="24"/>
        </w:rPr>
        <w:t xml:space="preserve">était pas définie officiellement </w:t>
      </w:r>
      <w:r>
        <w:rPr>
          <w:rFonts w:cs="Arial"/>
          <w:szCs w:val="24"/>
        </w:rPr>
        <w:t>dans la loi</w:t>
      </w:r>
      <w:r w:rsidRPr="00377607">
        <w:rPr>
          <w:rFonts w:cs="Arial"/>
          <w:szCs w:val="24"/>
        </w:rPr>
        <w:t xml:space="preserve">. </w:t>
      </w:r>
      <w:r w:rsidRPr="00A07849">
        <w:rPr>
          <w:rFonts w:cs="Arial"/>
          <w:szCs w:val="24"/>
        </w:rPr>
        <w:t>Or, l’apparence d’indépendance ne garantit pas d’être à l’abri de toute influence politique et les impératifs d’indépendance et d’imputabilité ont été revus à l’occasion.</w:t>
      </w:r>
      <w:r w:rsidRPr="00377607">
        <w:rPr>
          <w:rFonts w:cs="Arial"/>
          <w:szCs w:val="24"/>
        </w:rPr>
        <w:t xml:space="preserve"> En Angleterre et au </w:t>
      </w:r>
      <w:r>
        <w:rPr>
          <w:rFonts w:cs="Arial"/>
          <w:szCs w:val="24"/>
        </w:rPr>
        <w:t>p</w:t>
      </w:r>
      <w:r w:rsidRPr="00377607">
        <w:rPr>
          <w:rFonts w:cs="Arial"/>
          <w:szCs w:val="24"/>
        </w:rPr>
        <w:t>ays de Galles,</w:t>
      </w:r>
      <w:r>
        <w:rPr>
          <w:rFonts w:cs="Arial"/>
          <w:szCs w:val="24"/>
        </w:rPr>
        <w:t xml:space="preserve"> ces questions ont été au cœur des réflexions consacrées à </w:t>
      </w:r>
      <w:r w:rsidRPr="00377607">
        <w:rPr>
          <w:rFonts w:cs="Arial"/>
          <w:szCs w:val="24"/>
        </w:rPr>
        <w:t>la définition de la nature des poursuites publiques et du rôle du procureur général</w:t>
      </w:r>
      <w:r>
        <w:rPr>
          <w:rStyle w:val="Appelnotedebasdep"/>
          <w:rFonts w:cs="Arial"/>
          <w:szCs w:val="24"/>
        </w:rPr>
        <w:footnoteReference w:id="14"/>
      </w:r>
      <w:r>
        <w:rPr>
          <w:rFonts w:cs="Arial"/>
          <w:szCs w:val="24"/>
        </w:rPr>
        <w:t>.</w:t>
      </w:r>
      <w:r w:rsidRPr="00377607">
        <w:rPr>
          <w:rFonts w:cs="Arial"/>
          <w:szCs w:val="24"/>
        </w:rPr>
        <w:t xml:space="preserve"> </w:t>
      </w:r>
    </w:p>
    <w:p w14:paraId="474B4318" w14:textId="77777777" w:rsidR="005C67B6" w:rsidRPr="00EB28CD" w:rsidRDefault="005C67B6" w:rsidP="005C67B6">
      <w:pPr>
        <w:pStyle w:val="Paragraphe"/>
        <w:spacing w:line="240" w:lineRule="auto"/>
        <w:rPr>
          <w:rFonts w:cs="Arial"/>
          <w:szCs w:val="24"/>
        </w:rPr>
      </w:pPr>
      <w:r w:rsidRPr="00377607">
        <w:rPr>
          <w:rFonts w:cs="Arial"/>
          <w:szCs w:val="24"/>
        </w:rPr>
        <w:t xml:space="preserve">En 1951, le Parlement a demandé à Sir Hartley Shawcross (alors procureur général) de préciser le rôle joué par le procureur général dans les poursuites criminelles. </w:t>
      </w:r>
      <w:r>
        <w:rPr>
          <w:rFonts w:cs="Arial"/>
          <w:szCs w:val="24"/>
        </w:rPr>
        <w:t>Sa</w:t>
      </w:r>
      <w:r w:rsidRPr="00377607">
        <w:rPr>
          <w:rFonts w:cs="Arial"/>
          <w:szCs w:val="24"/>
        </w:rPr>
        <w:t xml:space="preserve"> réponse, connu</w:t>
      </w:r>
      <w:r>
        <w:rPr>
          <w:rFonts w:cs="Arial"/>
          <w:szCs w:val="24"/>
        </w:rPr>
        <w:t>e</w:t>
      </w:r>
      <w:r w:rsidRPr="00377607">
        <w:rPr>
          <w:rFonts w:cs="Arial"/>
          <w:szCs w:val="24"/>
        </w:rPr>
        <w:t xml:space="preserve"> sous le nom de « principe de Shawcross » ou de « doctrine de Shawcross », mérite d</w:t>
      </w:r>
      <w:r>
        <w:rPr>
          <w:rFonts w:cs="Arial"/>
          <w:szCs w:val="24"/>
        </w:rPr>
        <w:t>’</w:t>
      </w:r>
      <w:r w:rsidRPr="00377607">
        <w:rPr>
          <w:rFonts w:cs="Arial"/>
          <w:szCs w:val="24"/>
        </w:rPr>
        <w:t>être reproduite intégralement</w:t>
      </w:r>
      <w:r>
        <w:rPr>
          <w:rFonts w:cs="Arial"/>
          <w:szCs w:val="24"/>
        </w:rPr>
        <w:t> :</w:t>
      </w:r>
      <w:r w:rsidRPr="00377607">
        <w:rPr>
          <w:rFonts w:cs="Arial"/>
          <w:szCs w:val="24"/>
        </w:rPr>
        <w:t xml:space="preserve"> </w:t>
      </w:r>
    </w:p>
    <w:p w14:paraId="2D59BFEE" w14:textId="77777777" w:rsidR="005C67B6" w:rsidRPr="00A014FF" w:rsidRDefault="005C67B6" w:rsidP="005C67B6">
      <w:pPr>
        <w:pStyle w:val="Citationenretrait"/>
        <w:spacing w:line="240" w:lineRule="auto"/>
        <w:rPr>
          <w:rFonts w:cs="Arial"/>
          <w:szCs w:val="22"/>
          <w:lang w:val="en-CA"/>
        </w:rPr>
      </w:pPr>
      <w:r w:rsidRPr="00A014FF">
        <w:rPr>
          <w:rFonts w:cs="Arial"/>
          <w:szCs w:val="22"/>
          <w:lang w:val="en-CA"/>
        </w:rPr>
        <w:t>I am glad to have the opportunity of talking about the position of the Attorney-General in connection with prosecutions because […] there has been some criticism that my enforcement of the criminal law was a matter of expediency. Indeed, it was seriously suggested that the operation of the law should be virtually automatic where any breach of it was known or suspected to have occurred. The truth is, of course, that the exercise of a discretion in a quasi-judicial way as to whether or when I must take steps to enforce the criminal law is exactly one of the duties of the office of the Attorney-General, as it is of the office of the Director of Public Prosecutions, who works under the direction of the Attorney-General.</w:t>
      </w:r>
    </w:p>
    <w:p w14:paraId="6724E546" w14:textId="2AC2211D" w:rsidR="005C67B6" w:rsidRPr="00A014FF" w:rsidRDefault="005C67B6" w:rsidP="005C67B6">
      <w:pPr>
        <w:pStyle w:val="Citationenretrait"/>
        <w:spacing w:line="240" w:lineRule="auto"/>
        <w:rPr>
          <w:rFonts w:cs="Arial"/>
          <w:szCs w:val="22"/>
          <w:lang w:val="en-CA"/>
        </w:rPr>
      </w:pPr>
      <w:r w:rsidRPr="00A014FF">
        <w:rPr>
          <w:rFonts w:cs="Arial"/>
          <w:szCs w:val="22"/>
          <w:lang w:val="en-CA"/>
        </w:rPr>
        <w:t xml:space="preserve">It has never been the rule in this country—I hope it never will be—that suspected criminal offences must automatically be the subject of prosecution. Indeed, the very first regulations under which the Director of Public Prosecutions worked provided that he should intervene to prosecute, amongst other cases: wherever it appears that the offence or the circumstances of its commission is or are of such a character that a prosecution in respect thereof is required in the public interest. That is still the </w:t>
      </w:r>
      <w:r w:rsidRPr="00DE01FB">
        <w:rPr>
          <w:rFonts w:cs="Arial"/>
          <w:szCs w:val="22"/>
          <w:lang w:val="en-CA"/>
        </w:rPr>
        <w:t>dominant consideration. I should perhaps say that, although he is called the Director of Public Prosecutions, constitutionally I am responsible for all his decisions, and as a </w:t>
      </w:r>
      <w:hyperlink r:id="rId9" w:tooltip="Display definition of Minister" w:history="1">
        <w:r w:rsidR="00C2160B">
          <w:rPr>
            <w:rStyle w:val="Hyperlien"/>
            <w:rFonts w:cs="Arial"/>
            <w:color w:val="auto"/>
            <w:szCs w:val="22"/>
            <w:u w:val="none"/>
            <w:lang w:val="en-CA"/>
          </w:rPr>
          <w:t>Minister</w:t>
        </w:r>
      </w:hyperlink>
      <w:r w:rsidRPr="00DE01FB">
        <w:rPr>
          <w:rFonts w:cs="Arial"/>
          <w:szCs w:val="22"/>
          <w:lang w:val="en-CA"/>
        </w:rPr>
        <w:t> of the Crown I am answerable to the House for any decision he may make in particular cases</w:t>
      </w:r>
      <w:r w:rsidRPr="00A014FF">
        <w:rPr>
          <w:rFonts w:cs="Arial"/>
          <w:szCs w:val="22"/>
          <w:lang w:val="en-CA"/>
        </w:rPr>
        <w:t>.</w:t>
      </w:r>
    </w:p>
    <w:p w14:paraId="0D7CAA24" w14:textId="77777777" w:rsidR="005C67B6" w:rsidRPr="00A014FF" w:rsidRDefault="005C67B6" w:rsidP="005C67B6">
      <w:pPr>
        <w:pStyle w:val="Citationenretrait"/>
        <w:spacing w:line="240" w:lineRule="auto"/>
        <w:rPr>
          <w:rFonts w:cs="Arial"/>
          <w:szCs w:val="22"/>
          <w:lang w:val="en-CA"/>
        </w:rPr>
      </w:pPr>
      <w:r w:rsidRPr="00A014FF">
        <w:rPr>
          <w:rFonts w:cs="Arial"/>
          <w:szCs w:val="22"/>
          <w:lang w:val="en-CA"/>
        </w:rPr>
        <w:t>So, under the tradition of our criminal law the position is that the Attorney-General and the Director of Public Prosecutions only intervene to direct a prosecution when they consider it in the public interest so to do. Lord Simon, who was once himself a most distinguished Attorney-General, put the position very clearly when he said in debate in this House: there is no greater nonsense talked about the Attorney-General's duty than the suggestion that in all cases the Attorney-General ought to decide to prosecute merely because he thinks there is what the lawyers call 'a case.' It is not true, and no one who has held that office supposes it is. […] My hon. and learned Friend then asked me how I direct myself in deciding whether or not to prosecute in a particular case. That is a very wide subject indeed, but there is only one consideration which is altogether excluded, and that is the repercussion of a given decision upon my personal or my party's or the Government's political fortunes; that is a consideration which never enters into account. Apart from that, the Attorney-General may have to have regard to a variety of considerations, all of them leading to the final question—would a prosecution be in the public interest, including in that phrase of course, in the interests of justice?</w:t>
      </w:r>
    </w:p>
    <w:p w14:paraId="0297D649" w14:textId="77777777" w:rsidR="005C67B6" w:rsidRPr="00A014FF" w:rsidRDefault="005C67B6" w:rsidP="005C67B6">
      <w:pPr>
        <w:pStyle w:val="Citationenretrait"/>
        <w:spacing w:line="240" w:lineRule="auto"/>
        <w:rPr>
          <w:rFonts w:cs="Arial"/>
          <w:szCs w:val="22"/>
          <w:lang w:val="en-CA"/>
        </w:rPr>
      </w:pPr>
      <w:r w:rsidRPr="00A014FF">
        <w:rPr>
          <w:rFonts w:cs="Arial"/>
          <w:szCs w:val="22"/>
          <w:lang w:val="en-CA"/>
        </w:rPr>
        <w:t>Usually it is merely a question of examining the evidence. Is the evidence sufficient to justify a man being placed on his trial? The other day, in a case of murder to which the hon. and learned Gentleman referred—a case which became the subject of a good deal of publicity—I personally decided not to prosecute. I examined the papers myself, and I came to the conclusion that it was not an appropriate case in which I should instruct the Director of Public Prosecutions on behalf of the Crown.</w:t>
      </w:r>
    </w:p>
    <w:p w14:paraId="160472A2" w14:textId="77777777" w:rsidR="005C67B6" w:rsidRPr="00A014FF" w:rsidRDefault="005C67B6" w:rsidP="005C67B6">
      <w:pPr>
        <w:pStyle w:val="Citationenretrait"/>
        <w:spacing w:line="240" w:lineRule="auto"/>
        <w:rPr>
          <w:rFonts w:cs="Arial"/>
          <w:szCs w:val="22"/>
          <w:lang w:val="en-CA"/>
        </w:rPr>
      </w:pPr>
      <w:r w:rsidRPr="00A014FF">
        <w:rPr>
          <w:rFonts w:cs="Arial"/>
          <w:szCs w:val="22"/>
          <w:lang w:val="en-CA"/>
        </w:rPr>
        <w:t>It is not in the public interest to put a man upon trial, whatever the suspicions may be about the matter, when the evidence is insufficient to justify his conviction, or even to call upon him for an explanation. So the ordinary case is one where one has to review the evidence, to consider whether the evidence goes beyond mere suspicion and is sufficient to justify a man being put on trial for a specific criminal offence.</w:t>
      </w:r>
    </w:p>
    <w:p w14:paraId="43AE689A" w14:textId="77777777" w:rsidR="005C67B6" w:rsidRPr="00A014FF" w:rsidRDefault="005C67B6" w:rsidP="005C67B6">
      <w:pPr>
        <w:pStyle w:val="Citationenretrait"/>
        <w:spacing w:line="240" w:lineRule="auto"/>
        <w:rPr>
          <w:rFonts w:cs="Arial"/>
          <w:szCs w:val="22"/>
          <w:lang w:val="en-CA"/>
        </w:rPr>
      </w:pPr>
      <w:r w:rsidRPr="00A014FF">
        <w:rPr>
          <w:rFonts w:cs="Arial"/>
          <w:szCs w:val="22"/>
          <w:lang w:val="en-CA"/>
        </w:rPr>
        <w:t>In other cases wider considerations than that are involved. It is not always in the public interest to go through the whole process of the criminal law if, at the end of the day, perhaps because of mitigating circumstances, perhaps because of what the defendant has already suffered, only a nominal penalty is likely to be imposed. And almost every day in particular cases, and where guilt has been admitted, I decide that the interests of public justice will be sufficiently served not by prosecuting, but perhaps by causing a warning to be administered instead.</w:t>
      </w:r>
    </w:p>
    <w:p w14:paraId="14EFABD2" w14:textId="77777777" w:rsidR="005C67B6" w:rsidRPr="00A014FF" w:rsidRDefault="005C67B6" w:rsidP="005C67B6">
      <w:pPr>
        <w:pStyle w:val="Citationenretrait"/>
        <w:spacing w:line="240" w:lineRule="auto"/>
        <w:rPr>
          <w:rFonts w:cs="Arial"/>
          <w:szCs w:val="22"/>
          <w:lang w:val="en-CA"/>
        </w:rPr>
      </w:pPr>
      <w:r w:rsidRPr="00A014FF">
        <w:rPr>
          <w:rFonts w:cs="Arial"/>
          <w:szCs w:val="22"/>
          <w:lang w:val="en-CA"/>
        </w:rPr>
        <w:t>Sometimes, of course, the considerations may be wider still. Prosecution may involve a question of public policy or national, or sometimes international, concern; but in cases like that, the Attorney-General has to make up his mind not as a party politician; he must in a quasi-judicial way consider the effect of prosecution upon the administration of law and of government in the abstract rather than in any party sense. Usually, making up my mind on these matters, I have the advice of the Director of Public Prosecutions and very often of Treasury Counsel as well. I have hardly ever, if ever, refused to prosecute when they have advised prosecution. I have sometimes ordered prosecution when the advice was against it.</w:t>
      </w:r>
    </w:p>
    <w:p w14:paraId="499F62E4" w14:textId="77777777" w:rsidR="005C67B6" w:rsidRPr="00A014FF" w:rsidRDefault="005C67B6" w:rsidP="005C67B6">
      <w:pPr>
        <w:pStyle w:val="Citationenretrait"/>
        <w:spacing w:line="240" w:lineRule="auto"/>
        <w:rPr>
          <w:rFonts w:cs="Arial"/>
          <w:szCs w:val="22"/>
          <w:lang w:val="en-CA"/>
        </w:rPr>
      </w:pPr>
      <w:r w:rsidRPr="00A014FF">
        <w:rPr>
          <w:rFonts w:cs="Arial"/>
          <w:szCs w:val="22"/>
          <w:lang w:val="en-CA"/>
        </w:rPr>
        <w:t>I think the true doctrine is that it is the duty of an Attorney-General, in deciding whether or not to authorise the prosecution, to acquaint himself with all the relevant facts, including, for instance, the effect which the prosecution, successful or unsuccessful as the case may be, would have upon public morale and order, and with any other considerations affecting public policy.</w:t>
      </w:r>
    </w:p>
    <w:p w14:paraId="02A1A93C" w14:textId="77777777" w:rsidR="005C67B6" w:rsidRPr="00A014FF" w:rsidRDefault="005C67B6" w:rsidP="005C67B6">
      <w:pPr>
        <w:pStyle w:val="Citationenretrait"/>
        <w:spacing w:line="240" w:lineRule="auto"/>
        <w:rPr>
          <w:rFonts w:cs="Arial"/>
          <w:szCs w:val="22"/>
          <w:lang w:val="en-CA"/>
        </w:rPr>
      </w:pPr>
      <w:r w:rsidRPr="00A014FF">
        <w:rPr>
          <w:rFonts w:cs="Arial"/>
          <w:szCs w:val="22"/>
          <w:lang w:val="en-CA"/>
        </w:rPr>
        <w:t>In order so to inform himself, he may, although I do not think he is obliged to, consult with any of his colleagues in the Government; and indeed, as Lord Simon once said, he would in some cases be a fool if he did not. On the other hand, the assistance of his colleagues is confined to informing him of particular considerations which might affect his own decision, and does not consist, and must not consist, in telling him what that decision ought to be. The responsibility for the eventual decision rests with the Attorney-General, and he is not to be put, and is not put, under pressure by his colleagues in the matter.</w:t>
      </w:r>
    </w:p>
    <w:p w14:paraId="0EE62590" w14:textId="77777777" w:rsidR="005C67B6" w:rsidRPr="00A014FF" w:rsidRDefault="005C67B6" w:rsidP="005C67B6">
      <w:pPr>
        <w:pStyle w:val="Citationenretrait"/>
        <w:spacing w:line="240" w:lineRule="auto"/>
        <w:rPr>
          <w:rFonts w:cs="Arial"/>
          <w:szCs w:val="22"/>
          <w:lang w:val="en-CA"/>
        </w:rPr>
      </w:pPr>
      <w:r w:rsidRPr="00A014FF">
        <w:rPr>
          <w:rFonts w:cs="Arial"/>
          <w:szCs w:val="22"/>
          <w:lang w:val="en-CA"/>
        </w:rPr>
        <w:t>Nor, of course, can the Attorney-General shift his responsibility for making the decision on to the shoulders of his colleagues. If political considerations which, in the broad sense that I have indicated, affect government in the abstract arise, it is the Attorney-General, applying his judicial mind, who has to be the sole judge of those considerations.</w:t>
      </w:r>
      <w:r w:rsidRPr="00A014FF">
        <w:rPr>
          <w:rStyle w:val="Appelnotedebasdep"/>
          <w:rFonts w:cs="Arial"/>
          <w:szCs w:val="22"/>
        </w:rPr>
        <w:footnoteReference w:id="15"/>
      </w:r>
      <w:r w:rsidRPr="00A014FF">
        <w:rPr>
          <w:rFonts w:cs="Arial"/>
          <w:szCs w:val="22"/>
          <w:lang w:val="en-CA"/>
        </w:rPr>
        <w:t xml:space="preserve"> </w:t>
      </w:r>
    </w:p>
    <w:p w14:paraId="2E3BB2B9" w14:textId="77777777" w:rsidR="005C67B6" w:rsidRPr="00FB303B" w:rsidRDefault="005C67B6" w:rsidP="005C67B6">
      <w:pPr>
        <w:pStyle w:val="Paragraphe"/>
        <w:spacing w:line="240" w:lineRule="auto"/>
        <w:rPr>
          <w:rFonts w:cs="Arial"/>
          <w:szCs w:val="24"/>
        </w:rPr>
      </w:pPr>
      <w:r>
        <w:rPr>
          <w:rFonts w:cs="Arial"/>
          <w:szCs w:val="24"/>
        </w:rPr>
        <w:t xml:space="preserve">De nombreux États ont adopté ce principe, </w:t>
      </w:r>
      <w:r w:rsidRPr="00377607">
        <w:rPr>
          <w:rFonts w:cs="Arial"/>
          <w:szCs w:val="24"/>
        </w:rPr>
        <w:t>particulièrement au sein du Commonwealth</w:t>
      </w:r>
      <w:r>
        <w:rPr>
          <w:rStyle w:val="Appelnotedebasdep"/>
          <w:rFonts w:cs="Arial"/>
          <w:szCs w:val="24"/>
        </w:rPr>
        <w:footnoteReference w:id="16"/>
      </w:r>
      <w:r>
        <w:rPr>
          <w:rFonts w:cs="Arial"/>
          <w:szCs w:val="24"/>
        </w:rPr>
        <w:t>.</w:t>
      </w:r>
      <w:r w:rsidRPr="00377607">
        <w:rPr>
          <w:rFonts w:cs="Arial"/>
          <w:szCs w:val="24"/>
        </w:rPr>
        <w:t xml:space="preserve"> Il affirme l</w:t>
      </w:r>
      <w:r>
        <w:rPr>
          <w:rFonts w:cs="Arial"/>
          <w:szCs w:val="24"/>
        </w:rPr>
        <w:t>’</w:t>
      </w:r>
      <w:r w:rsidRPr="00377607">
        <w:rPr>
          <w:rFonts w:cs="Arial"/>
          <w:szCs w:val="24"/>
        </w:rPr>
        <w:t xml:space="preserve">indépendance du procureur général vis-à-vis de toute influence politique partisane et non partisane. Il établit la distinction entre ses fonctions non partisanes et celles de ministre de la </w:t>
      </w:r>
      <w:r>
        <w:rPr>
          <w:rFonts w:cs="Arial"/>
          <w:szCs w:val="24"/>
        </w:rPr>
        <w:t>J</w:t>
      </w:r>
      <w:r w:rsidRPr="00377607">
        <w:rPr>
          <w:rFonts w:cs="Arial"/>
          <w:szCs w:val="24"/>
        </w:rPr>
        <w:t>ustice et souligne qu</w:t>
      </w:r>
      <w:r>
        <w:rPr>
          <w:rFonts w:cs="Arial"/>
          <w:szCs w:val="24"/>
        </w:rPr>
        <w:t>’</w:t>
      </w:r>
      <w:r w:rsidRPr="00377607">
        <w:rPr>
          <w:rFonts w:cs="Arial"/>
          <w:szCs w:val="24"/>
        </w:rPr>
        <w:t xml:space="preserve">il </w:t>
      </w:r>
      <w:r>
        <w:rPr>
          <w:rFonts w:cs="Arial"/>
          <w:szCs w:val="24"/>
        </w:rPr>
        <w:t>–</w:t>
      </w:r>
      <w:r w:rsidRPr="00377607">
        <w:rPr>
          <w:rFonts w:cs="Arial"/>
          <w:szCs w:val="24"/>
        </w:rPr>
        <w:t xml:space="preserve"> et ceux agissant en son nom </w:t>
      </w:r>
      <w:r>
        <w:rPr>
          <w:rFonts w:cs="Arial"/>
          <w:szCs w:val="24"/>
        </w:rPr>
        <w:t>–</w:t>
      </w:r>
      <w:r w:rsidRPr="00377607">
        <w:rPr>
          <w:rFonts w:cs="Arial"/>
          <w:szCs w:val="24"/>
        </w:rPr>
        <w:t xml:space="preserve"> ne doit intenter de poursuite criminelle que si la force de la preuve disponible et l</w:t>
      </w:r>
      <w:r>
        <w:rPr>
          <w:rFonts w:cs="Arial"/>
          <w:szCs w:val="24"/>
        </w:rPr>
        <w:t>’</w:t>
      </w:r>
      <w:r w:rsidRPr="00377607">
        <w:rPr>
          <w:rFonts w:cs="Arial"/>
          <w:szCs w:val="24"/>
        </w:rPr>
        <w:t xml:space="preserve">intérêt public </w:t>
      </w:r>
      <w:r>
        <w:rPr>
          <w:rFonts w:cs="Arial"/>
          <w:szCs w:val="24"/>
        </w:rPr>
        <w:t xml:space="preserve">le </w:t>
      </w:r>
      <w:r w:rsidRPr="00377607">
        <w:rPr>
          <w:rFonts w:cs="Arial"/>
          <w:szCs w:val="24"/>
        </w:rPr>
        <w:t>justifi</w:t>
      </w:r>
      <w:r>
        <w:rPr>
          <w:rFonts w:cs="Arial"/>
          <w:szCs w:val="24"/>
        </w:rPr>
        <w:t>ent</w:t>
      </w:r>
      <w:r w:rsidRPr="00377607">
        <w:rPr>
          <w:rFonts w:cs="Arial"/>
          <w:szCs w:val="24"/>
        </w:rPr>
        <w:t>. Il s</w:t>
      </w:r>
      <w:r>
        <w:rPr>
          <w:rFonts w:cs="Arial"/>
          <w:szCs w:val="24"/>
        </w:rPr>
        <w:t>’</w:t>
      </w:r>
      <w:r w:rsidRPr="00377607">
        <w:rPr>
          <w:rFonts w:cs="Arial"/>
          <w:szCs w:val="24"/>
        </w:rPr>
        <w:t>agit de l</w:t>
      </w:r>
      <w:r>
        <w:rPr>
          <w:rFonts w:cs="Arial"/>
          <w:szCs w:val="24"/>
        </w:rPr>
        <w:t>’</w:t>
      </w:r>
      <w:r w:rsidRPr="00377607">
        <w:rPr>
          <w:rFonts w:cs="Arial"/>
          <w:szCs w:val="24"/>
        </w:rPr>
        <w:t>essence même du rôle de procureur général en tant que premier conseiller juridique de l</w:t>
      </w:r>
      <w:r>
        <w:rPr>
          <w:rFonts w:cs="Arial"/>
          <w:szCs w:val="24"/>
        </w:rPr>
        <w:t>’</w:t>
      </w:r>
      <w:r w:rsidRPr="00377607">
        <w:rPr>
          <w:rFonts w:cs="Arial"/>
          <w:szCs w:val="24"/>
        </w:rPr>
        <w:t>État en matière criminelle</w:t>
      </w:r>
      <w:r>
        <w:rPr>
          <w:rStyle w:val="Appelnotedebasdep"/>
          <w:rFonts w:cs="Arial"/>
          <w:szCs w:val="24"/>
        </w:rPr>
        <w:footnoteReference w:id="17"/>
      </w:r>
      <w:r>
        <w:rPr>
          <w:rFonts w:cs="Arial"/>
          <w:szCs w:val="24"/>
        </w:rPr>
        <w:t>.</w:t>
      </w:r>
      <w:r w:rsidRPr="00377607">
        <w:rPr>
          <w:rFonts w:cs="Arial"/>
          <w:szCs w:val="24"/>
        </w:rPr>
        <w:t xml:space="preserve"> Le principe de Shawcross s</w:t>
      </w:r>
      <w:r>
        <w:rPr>
          <w:rFonts w:cs="Arial"/>
          <w:szCs w:val="24"/>
        </w:rPr>
        <w:t>’</w:t>
      </w:r>
      <w:r w:rsidRPr="00377607">
        <w:rPr>
          <w:rFonts w:cs="Arial"/>
          <w:szCs w:val="24"/>
        </w:rPr>
        <w:t>applique en tous points aux fonctions du DPP. Bien qu</w:t>
      </w:r>
      <w:r>
        <w:rPr>
          <w:rFonts w:cs="Arial"/>
          <w:szCs w:val="24"/>
        </w:rPr>
        <w:t xml:space="preserve">’elle </w:t>
      </w:r>
      <w:r w:rsidRPr="00377607">
        <w:rPr>
          <w:rFonts w:cs="Arial"/>
          <w:szCs w:val="24"/>
        </w:rPr>
        <w:t>soit souvent proclamée avec véhémence, l</w:t>
      </w:r>
      <w:r>
        <w:rPr>
          <w:rFonts w:cs="Arial"/>
          <w:szCs w:val="24"/>
        </w:rPr>
        <w:t>’</w:t>
      </w:r>
      <w:r w:rsidRPr="00377607">
        <w:rPr>
          <w:rFonts w:cs="Arial"/>
          <w:szCs w:val="24"/>
        </w:rPr>
        <w:t>indépendance en matière de poursuites du procureur général vis-à-vis de toute considération partisane, quelle qu</w:t>
      </w:r>
      <w:r>
        <w:rPr>
          <w:rFonts w:cs="Arial"/>
          <w:szCs w:val="24"/>
        </w:rPr>
        <w:t>’</w:t>
      </w:r>
      <w:r w:rsidRPr="00377607">
        <w:rPr>
          <w:rFonts w:cs="Arial"/>
          <w:szCs w:val="24"/>
        </w:rPr>
        <w:t>en soit la nature ou la source,</w:t>
      </w:r>
      <w:r>
        <w:rPr>
          <w:rFonts w:cs="Arial"/>
          <w:szCs w:val="24"/>
        </w:rPr>
        <w:t xml:space="preserve"> </w:t>
      </w:r>
      <w:r w:rsidRPr="00377607">
        <w:rPr>
          <w:rFonts w:cs="Arial"/>
          <w:szCs w:val="24"/>
        </w:rPr>
        <w:t>reflète autant une aspiration qu</w:t>
      </w:r>
      <w:r>
        <w:rPr>
          <w:rFonts w:cs="Arial"/>
          <w:szCs w:val="24"/>
        </w:rPr>
        <w:t>’</w:t>
      </w:r>
      <w:r w:rsidRPr="00377607">
        <w:rPr>
          <w:rFonts w:cs="Arial"/>
          <w:szCs w:val="24"/>
        </w:rPr>
        <w:t>un devoir</w:t>
      </w:r>
      <w:r>
        <w:rPr>
          <w:rStyle w:val="Appelnotedebasdep"/>
          <w:rFonts w:cs="Arial"/>
          <w:szCs w:val="24"/>
        </w:rPr>
        <w:footnoteReference w:id="18"/>
      </w:r>
      <w:r>
        <w:rPr>
          <w:rFonts w:cs="Arial"/>
          <w:szCs w:val="24"/>
        </w:rPr>
        <w:t>.</w:t>
      </w:r>
    </w:p>
    <w:p w14:paraId="43443088" w14:textId="77777777" w:rsidR="005C67B6" w:rsidRPr="00EB28CD" w:rsidRDefault="005C67B6" w:rsidP="005C67B6">
      <w:pPr>
        <w:pStyle w:val="Paragraphe"/>
        <w:spacing w:line="240" w:lineRule="auto"/>
        <w:rPr>
          <w:rFonts w:cs="Arial"/>
          <w:szCs w:val="24"/>
        </w:rPr>
      </w:pPr>
      <w:r w:rsidRPr="00377607">
        <w:rPr>
          <w:rFonts w:cs="Arial"/>
          <w:szCs w:val="24"/>
        </w:rPr>
        <w:t>En 1985, la</w:t>
      </w:r>
      <w:r>
        <w:rPr>
          <w:rFonts w:cs="Arial"/>
          <w:szCs w:val="24"/>
        </w:rPr>
        <w:t xml:space="preserve"> loi</w:t>
      </w:r>
      <w:r w:rsidRPr="00377607">
        <w:rPr>
          <w:rFonts w:cs="Arial"/>
          <w:szCs w:val="24"/>
        </w:rPr>
        <w:t xml:space="preserve"> </w:t>
      </w:r>
      <w:r w:rsidRPr="00377607">
        <w:rPr>
          <w:rFonts w:cs="Arial"/>
          <w:i/>
          <w:iCs/>
          <w:szCs w:val="24"/>
        </w:rPr>
        <w:t>Prosecution of Offences Act 1985</w:t>
      </w:r>
      <w:r>
        <w:rPr>
          <w:rStyle w:val="Appelnotedebasdep"/>
          <w:rFonts w:cs="Arial"/>
          <w:szCs w:val="24"/>
        </w:rPr>
        <w:footnoteReference w:id="19"/>
      </w:r>
      <w:r w:rsidRPr="00377607">
        <w:rPr>
          <w:rFonts w:cs="Arial"/>
          <w:szCs w:val="24"/>
        </w:rPr>
        <w:t xml:space="preserve"> est venue réformer la structure officielle du régime de poursuites criminelles en Angleterre et au </w:t>
      </w:r>
      <w:r>
        <w:rPr>
          <w:rFonts w:cs="Arial"/>
          <w:szCs w:val="24"/>
        </w:rPr>
        <w:t>p</w:t>
      </w:r>
      <w:r w:rsidRPr="00377607">
        <w:rPr>
          <w:rFonts w:cs="Arial"/>
          <w:szCs w:val="24"/>
        </w:rPr>
        <w:t xml:space="preserve">ays de Galles et mettre sur pied le </w:t>
      </w:r>
      <w:r w:rsidRPr="00377607">
        <w:rPr>
          <w:rFonts w:cs="Arial"/>
          <w:i/>
          <w:iCs/>
          <w:szCs w:val="24"/>
        </w:rPr>
        <w:t>Crown Prosecution Service</w:t>
      </w:r>
      <w:r w:rsidRPr="00377607">
        <w:rPr>
          <w:rFonts w:cs="Arial"/>
          <w:szCs w:val="24"/>
        </w:rPr>
        <w:t xml:space="preserve"> (Service des poursuites de la Couronne). Ce groupe de procureurs agit sous l</w:t>
      </w:r>
      <w:r>
        <w:rPr>
          <w:rFonts w:cs="Arial"/>
          <w:szCs w:val="24"/>
        </w:rPr>
        <w:t>’</w:t>
      </w:r>
      <w:r w:rsidRPr="00377607">
        <w:rPr>
          <w:rFonts w:cs="Arial"/>
          <w:szCs w:val="24"/>
        </w:rPr>
        <w:t>autorité et la surveillance du DPP, lui-même nommé par le procureur général</w:t>
      </w:r>
      <w:r>
        <w:rPr>
          <w:rStyle w:val="Appelnotedebasdep"/>
          <w:rFonts w:cs="Arial"/>
          <w:szCs w:val="24"/>
        </w:rPr>
        <w:footnoteReference w:id="20"/>
      </w:r>
      <w:r w:rsidRPr="00377607">
        <w:rPr>
          <w:rFonts w:cs="Arial"/>
          <w:szCs w:val="24"/>
        </w:rPr>
        <w:t xml:space="preserve"> et agissant sous sa surveillance</w:t>
      </w:r>
      <w:r>
        <w:rPr>
          <w:rStyle w:val="Appelnotedebasdep"/>
          <w:rFonts w:cs="Arial"/>
          <w:szCs w:val="24"/>
        </w:rPr>
        <w:footnoteReference w:id="21"/>
      </w:r>
      <w:r w:rsidRPr="00377607">
        <w:rPr>
          <w:rFonts w:cs="Arial"/>
          <w:szCs w:val="24"/>
        </w:rPr>
        <w:t>. L</w:t>
      </w:r>
      <w:r>
        <w:rPr>
          <w:rFonts w:cs="Arial"/>
          <w:szCs w:val="24"/>
        </w:rPr>
        <w:t>’</w:t>
      </w:r>
      <w:r w:rsidRPr="00377607">
        <w:rPr>
          <w:rFonts w:cs="Arial"/>
          <w:szCs w:val="24"/>
        </w:rPr>
        <w:t>article 3 de la loi énumère en détail les fonctions du DPP en matière de poursuites. Il peut désigner des procureurs pour engager des poursuites en son nom. Dans l</w:t>
      </w:r>
      <w:r>
        <w:rPr>
          <w:rFonts w:cs="Arial"/>
          <w:szCs w:val="24"/>
        </w:rPr>
        <w:t>’</w:t>
      </w:r>
      <w:r w:rsidRPr="00377607">
        <w:rPr>
          <w:rFonts w:cs="Arial"/>
          <w:szCs w:val="24"/>
        </w:rPr>
        <w:t>exercice de leurs fonctions, ils sont régis par le principe de Shawcross</w:t>
      </w:r>
      <w:r>
        <w:rPr>
          <w:rFonts w:cs="Arial"/>
          <w:szCs w:val="24"/>
        </w:rPr>
        <w:t>,</w:t>
      </w:r>
      <w:r w:rsidRPr="00377607">
        <w:rPr>
          <w:rFonts w:cs="Arial"/>
          <w:szCs w:val="24"/>
        </w:rPr>
        <w:t xml:space="preserve"> ainsi que par un code de déontologie qui garantit que leur </w:t>
      </w:r>
      <w:r w:rsidRPr="006B1318">
        <w:rPr>
          <w:rFonts w:cs="Arial"/>
          <w:szCs w:val="24"/>
        </w:rPr>
        <w:t>indépendance est exempte de</w:t>
      </w:r>
      <w:r w:rsidRPr="00377607">
        <w:rPr>
          <w:rFonts w:cs="Arial"/>
          <w:szCs w:val="24"/>
        </w:rPr>
        <w:t xml:space="preserve"> considérations politiques partisanes et non partisanes. La </w:t>
      </w:r>
      <w:r>
        <w:rPr>
          <w:rFonts w:cs="Arial"/>
          <w:szCs w:val="24"/>
        </w:rPr>
        <w:t>l</w:t>
      </w:r>
      <w:r w:rsidRPr="00377607">
        <w:rPr>
          <w:rFonts w:cs="Arial"/>
          <w:szCs w:val="24"/>
        </w:rPr>
        <w:t xml:space="preserve">oi établit donc une hiérarchie des fonctions de poursuivant qui découlent du pouvoir du procureur général et sont dévolues par voie de délégation successive au DPP et à ses procureurs subordonnés. </w:t>
      </w:r>
    </w:p>
    <w:p w14:paraId="2A06BCA1" w14:textId="77777777" w:rsidR="005C67B6" w:rsidRPr="00EB28CD" w:rsidRDefault="005C67B6" w:rsidP="005C67B6">
      <w:pPr>
        <w:pStyle w:val="Paragraphe"/>
        <w:spacing w:line="240" w:lineRule="auto"/>
        <w:rPr>
          <w:rFonts w:cs="Arial"/>
          <w:szCs w:val="24"/>
        </w:rPr>
      </w:pPr>
      <w:r w:rsidRPr="00377607">
        <w:rPr>
          <w:rFonts w:cs="Arial"/>
          <w:szCs w:val="24"/>
        </w:rPr>
        <w:t>Dans les États du Commonwealth et ailleurs dans le monde, il existe différents modèles de poursuites criminelles qui visent à assurer l</w:t>
      </w:r>
      <w:r>
        <w:rPr>
          <w:rFonts w:cs="Arial"/>
          <w:szCs w:val="24"/>
        </w:rPr>
        <w:t>’</w:t>
      </w:r>
      <w:r w:rsidRPr="00377607">
        <w:rPr>
          <w:rFonts w:cs="Arial"/>
          <w:szCs w:val="24"/>
        </w:rPr>
        <w:t>indépendance du procureur général et des</w:t>
      </w:r>
      <w:r>
        <w:rPr>
          <w:rFonts w:cs="Arial"/>
          <w:szCs w:val="24"/>
        </w:rPr>
        <w:t xml:space="preserve"> poursuivants</w:t>
      </w:r>
      <w:r w:rsidRPr="00377607">
        <w:rPr>
          <w:rFonts w:cs="Arial"/>
          <w:szCs w:val="24"/>
        </w:rPr>
        <w:t xml:space="preserve">. Dans certains, le procureur général est un </w:t>
      </w:r>
      <w:r>
        <w:rPr>
          <w:rFonts w:cs="Arial"/>
          <w:szCs w:val="24"/>
        </w:rPr>
        <w:t>haut fonctionnaire</w:t>
      </w:r>
      <w:r w:rsidRPr="00377607">
        <w:rPr>
          <w:rFonts w:cs="Arial"/>
          <w:szCs w:val="24"/>
        </w:rPr>
        <w:t xml:space="preserve"> élu relevant de l</w:t>
      </w:r>
      <w:r>
        <w:rPr>
          <w:rFonts w:cs="Arial"/>
          <w:szCs w:val="24"/>
        </w:rPr>
        <w:t>’</w:t>
      </w:r>
      <w:r w:rsidRPr="00377607">
        <w:rPr>
          <w:rFonts w:cs="Arial"/>
          <w:szCs w:val="24"/>
        </w:rPr>
        <w:t xml:space="preserve">assemblée législative et membre du </w:t>
      </w:r>
      <w:r>
        <w:rPr>
          <w:rFonts w:cs="Arial"/>
          <w:szCs w:val="24"/>
        </w:rPr>
        <w:t>c</w:t>
      </w:r>
      <w:r w:rsidRPr="00377607">
        <w:rPr>
          <w:rFonts w:cs="Arial"/>
          <w:szCs w:val="24"/>
        </w:rPr>
        <w:t>abinet. D</w:t>
      </w:r>
      <w:r>
        <w:rPr>
          <w:rFonts w:cs="Arial"/>
          <w:szCs w:val="24"/>
        </w:rPr>
        <w:t>ans d’</w:t>
      </w:r>
      <w:r w:rsidRPr="00377607">
        <w:rPr>
          <w:rFonts w:cs="Arial"/>
          <w:szCs w:val="24"/>
        </w:rPr>
        <w:t xml:space="preserve">autres, comme le Canada, le procureur général </w:t>
      </w:r>
      <w:r>
        <w:rPr>
          <w:rFonts w:cs="Arial"/>
          <w:szCs w:val="24"/>
        </w:rPr>
        <w:t>peut (ou doit)</w:t>
      </w:r>
      <w:r w:rsidRPr="00377607">
        <w:rPr>
          <w:rFonts w:cs="Arial"/>
          <w:szCs w:val="24"/>
        </w:rPr>
        <w:t xml:space="preserve"> également </w:t>
      </w:r>
      <w:r>
        <w:rPr>
          <w:rFonts w:cs="Arial"/>
          <w:szCs w:val="24"/>
        </w:rPr>
        <w:t xml:space="preserve">être </w:t>
      </w:r>
      <w:r w:rsidRPr="00377607">
        <w:rPr>
          <w:rFonts w:cs="Arial"/>
          <w:szCs w:val="24"/>
        </w:rPr>
        <w:t xml:space="preserve">ministre de la Justice au sein du </w:t>
      </w:r>
      <w:r>
        <w:rPr>
          <w:rFonts w:cs="Arial"/>
          <w:szCs w:val="24"/>
        </w:rPr>
        <w:t>c</w:t>
      </w:r>
      <w:r w:rsidRPr="00377607">
        <w:rPr>
          <w:rFonts w:cs="Arial"/>
          <w:szCs w:val="24"/>
        </w:rPr>
        <w:t>abinet. D</w:t>
      </w:r>
      <w:r>
        <w:rPr>
          <w:rFonts w:cs="Arial"/>
          <w:szCs w:val="24"/>
        </w:rPr>
        <w:t>ans d’</w:t>
      </w:r>
      <w:r w:rsidRPr="00377607">
        <w:rPr>
          <w:rFonts w:cs="Arial"/>
          <w:szCs w:val="24"/>
        </w:rPr>
        <w:t>autres encore</w:t>
      </w:r>
      <w:r>
        <w:rPr>
          <w:rFonts w:cs="Arial"/>
          <w:szCs w:val="24"/>
        </w:rPr>
        <w:t>, il n’est pas permis d’être à la fois</w:t>
      </w:r>
      <w:r w:rsidRPr="00377607">
        <w:rPr>
          <w:rFonts w:cs="Arial"/>
          <w:szCs w:val="24"/>
        </w:rPr>
        <w:t xml:space="preserve"> procureur général </w:t>
      </w:r>
      <w:r>
        <w:rPr>
          <w:rFonts w:cs="Arial"/>
          <w:szCs w:val="24"/>
        </w:rPr>
        <w:t>et</w:t>
      </w:r>
      <w:r w:rsidRPr="00377607">
        <w:rPr>
          <w:rFonts w:cs="Arial"/>
          <w:szCs w:val="24"/>
        </w:rPr>
        <w:t xml:space="preserve"> membre du </w:t>
      </w:r>
      <w:r>
        <w:rPr>
          <w:rFonts w:cs="Arial"/>
          <w:szCs w:val="24"/>
        </w:rPr>
        <w:t>c</w:t>
      </w:r>
      <w:r w:rsidRPr="00377607">
        <w:rPr>
          <w:rFonts w:cs="Arial"/>
          <w:szCs w:val="24"/>
        </w:rPr>
        <w:t>abinet. Dans ces modèles, le fait d</w:t>
      </w:r>
      <w:r>
        <w:rPr>
          <w:rFonts w:cs="Arial"/>
          <w:szCs w:val="24"/>
        </w:rPr>
        <w:t>’</w:t>
      </w:r>
      <w:r w:rsidRPr="00377607">
        <w:rPr>
          <w:rFonts w:cs="Arial"/>
          <w:szCs w:val="24"/>
        </w:rPr>
        <w:t xml:space="preserve">être membre du </w:t>
      </w:r>
      <w:r>
        <w:rPr>
          <w:rFonts w:cs="Arial"/>
          <w:szCs w:val="24"/>
        </w:rPr>
        <w:t>c</w:t>
      </w:r>
      <w:r w:rsidRPr="00377607">
        <w:rPr>
          <w:rFonts w:cs="Arial"/>
          <w:szCs w:val="24"/>
        </w:rPr>
        <w:t>abinet est donc lié au fait d</w:t>
      </w:r>
      <w:r>
        <w:rPr>
          <w:rFonts w:cs="Arial"/>
          <w:szCs w:val="24"/>
        </w:rPr>
        <w:t>’être responsable devant</w:t>
      </w:r>
      <w:r w:rsidRPr="00377607">
        <w:rPr>
          <w:rFonts w:cs="Arial"/>
          <w:szCs w:val="24"/>
        </w:rPr>
        <w:t xml:space="preserve"> l</w:t>
      </w:r>
      <w:r>
        <w:rPr>
          <w:rFonts w:cs="Arial"/>
          <w:szCs w:val="24"/>
        </w:rPr>
        <w:t>’</w:t>
      </w:r>
      <w:r w:rsidRPr="00377607">
        <w:rPr>
          <w:rFonts w:cs="Arial"/>
          <w:szCs w:val="24"/>
        </w:rPr>
        <w:t xml:space="preserve">assemblée législative. </w:t>
      </w:r>
      <w:r>
        <w:rPr>
          <w:rFonts w:cs="Arial"/>
          <w:szCs w:val="24"/>
        </w:rPr>
        <w:t>Dans c</w:t>
      </w:r>
      <w:r w:rsidRPr="00377607">
        <w:rPr>
          <w:rFonts w:cs="Arial"/>
          <w:szCs w:val="24"/>
        </w:rPr>
        <w:t>ertains modèles</w:t>
      </w:r>
      <w:r>
        <w:rPr>
          <w:rFonts w:cs="Arial"/>
          <w:szCs w:val="24"/>
        </w:rPr>
        <w:t>,</w:t>
      </w:r>
      <w:r w:rsidRPr="00377607">
        <w:rPr>
          <w:rFonts w:cs="Arial"/>
          <w:szCs w:val="24"/>
        </w:rPr>
        <w:t xml:space="preserve"> le procureur général ne </w:t>
      </w:r>
      <w:r>
        <w:rPr>
          <w:rFonts w:cs="Arial"/>
          <w:szCs w:val="24"/>
        </w:rPr>
        <w:t>peut être</w:t>
      </w:r>
      <w:r w:rsidRPr="00377607">
        <w:rPr>
          <w:rFonts w:cs="Arial"/>
          <w:szCs w:val="24"/>
        </w:rPr>
        <w:t xml:space="preserve"> un membre élu de l</w:t>
      </w:r>
      <w:r>
        <w:rPr>
          <w:rFonts w:cs="Arial"/>
          <w:szCs w:val="24"/>
        </w:rPr>
        <w:t>’</w:t>
      </w:r>
      <w:r w:rsidRPr="00377607">
        <w:rPr>
          <w:rFonts w:cs="Arial"/>
          <w:szCs w:val="24"/>
        </w:rPr>
        <w:t xml:space="preserve">assemblée législative. </w:t>
      </w:r>
      <w:r>
        <w:rPr>
          <w:rFonts w:cs="Arial"/>
          <w:szCs w:val="24"/>
        </w:rPr>
        <w:t>D’autres</w:t>
      </w:r>
      <w:r w:rsidRPr="00377607">
        <w:rPr>
          <w:rFonts w:cs="Arial"/>
          <w:szCs w:val="24"/>
        </w:rPr>
        <w:t xml:space="preserve"> délèguent le pouvoir d</w:t>
      </w:r>
      <w:r>
        <w:rPr>
          <w:rFonts w:cs="Arial"/>
          <w:szCs w:val="24"/>
        </w:rPr>
        <w:t>’</w:t>
      </w:r>
      <w:r w:rsidRPr="00377607">
        <w:rPr>
          <w:rFonts w:cs="Arial"/>
          <w:szCs w:val="24"/>
        </w:rPr>
        <w:t>engager des poursuites au titulaire d</w:t>
      </w:r>
      <w:r>
        <w:rPr>
          <w:rFonts w:cs="Arial"/>
          <w:szCs w:val="24"/>
        </w:rPr>
        <w:t>’</w:t>
      </w:r>
      <w:r w:rsidRPr="00377607">
        <w:rPr>
          <w:rFonts w:cs="Arial"/>
          <w:szCs w:val="24"/>
        </w:rPr>
        <w:t>une charge créée par la loi, comme un directeur des poursuites publiques ou un solliciteur général. Dans tous ces cas de figure (et d</w:t>
      </w:r>
      <w:r>
        <w:rPr>
          <w:rFonts w:cs="Arial"/>
          <w:szCs w:val="24"/>
        </w:rPr>
        <w:t>’</w:t>
      </w:r>
      <w:r w:rsidRPr="00377607">
        <w:rPr>
          <w:rFonts w:cs="Arial"/>
          <w:szCs w:val="24"/>
        </w:rPr>
        <w:t xml:space="preserve">autres), des préoccupations existent, à divers degrés, </w:t>
      </w:r>
      <w:r>
        <w:rPr>
          <w:rFonts w:cs="Arial"/>
          <w:szCs w:val="24"/>
        </w:rPr>
        <w:t>qua</w:t>
      </w:r>
      <w:r w:rsidRPr="00377607">
        <w:rPr>
          <w:rFonts w:cs="Arial"/>
          <w:szCs w:val="24"/>
        </w:rPr>
        <w:t xml:space="preserve">nt aux normes garantissant une indépendance </w:t>
      </w:r>
      <w:r>
        <w:rPr>
          <w:rFonts w:cs="Arial"/>
          <w:szCs w:val="24"/>
        </w:rPr>
        <w:t>à l’abri de toute critique</w:t>
      </w:r>
      <w:r w:rsidRPr="00377607">
        <w:rPr>
          <w:rFonts w:cs="Arial"/>
          <w:szCs w:val="24"/>
        </w:rPr>
        <w:t xml:space="preserve"> et une </w:t>
      </w:r>
      <w:r>
        <w:rPr>
          <w:rFonts w:cs="Arial"/>
          <w:szCs w:val="24"/>
        </w:rPr>
        <w:t>transparence en matière d’imputabilité</w:t>
      </w:r>
      <w:r w:rsidRPr="00377607">
        <w:rPr>
          <w:rFonts w:cs="Arial"/>
          <w:szCs w:val="24"/>
        </w:rPr>
        <w:t>. Ces préoccupations</w:t>
      </w:r>
      <w:r>
        <w:rPr>
          <w:rFonts w:cs="Arial"/>
          <w:szCs w:val="24"/>
        </w:rPr>
        <w:t xml:space="preserve"> </w:t>
      </w:r>
      <w:r w:rsidRPr="00377607">
        <w:rPr>
          <w:rFonts w:cs="Arial"/>
          <w:szCs w:val="24"/>
        </w:rPr>
        <w:t>se rattachent</w:t>
      </w:r>
      <w:r>
        <w:rPr>
          <w:rFonts w:cs="Arial"/>
          <w:szCs w:val="24"/>
        </w:rPr>
        <w:t>, également à divers degrés,</w:t>
      </w:r>
      <w:r w:rsidRPr="00377607">
        <w:rPr>
          <w:rFonts w:cs="Arial"/>
          <w:szCs w:val="24"/>
        </w:rPr>
        <w:t xml:space="preserve"> au concept d</w:t>
      </w:r>
      <w:r>
        <w:rPr>
          <w:rFonts w:cs="Arial"/>
          <w:szCs w:val="24"/>
        </w:rPr>
        <w:t>’</w:t>
      </w:r>
      <w:r w:rsidRPr="00377607">
        <w:rPr>
          <w:rFonts w:cs="Arial"/>
          <w:szCs w:val="24"/>
        </w:rPr>
        <w:t xml:space="preserve">État de droit. </w:t>
      </w:r>
    </w:p>
    <w:p w14:paraId="5F7F438E" w14:textId="77777777" w:rsidR="005C67B6" w:rsidRPr="00EB28CD" w:rsidRDefault="005C67B6" w:rsidP="005C67B6">
      <w:pPr>
        <w:pStyle w:val="Paragraphe"/>
        <w:spacing w:line="240" w:lineRule="auto"/>
        <w:rPr>
          <w:rFonts w:cs="Arial"/>
          <w:szCs w:val="24"/>
        </w:rPr>
      </w:pPr>
      <w:r w:rsidRPr="00377607">
        <w:rPr>
          <w:rFonts w:cs="Arial"/>
          <w:szCs w:val="24"/>
        </w:rPr>
        <w:t>Dans l</w:t>
      </w:r>
      <w:r>
        <w:rPr>
          <w:rFonts w:cs="Arial"/>
          <w:szCs w:val="24"/>
        </w:rPr>
        <w:t>’</w:t>
      </w:r>
      <w:r w:rsidRPr="00377607">
        <w:rPr>
          <w:rFonts w:cs="Arial"/>
          <w:szCs w:val="24"/>
        </w:rPr>
        <w:t xml:space="preserve">arrêt </w:t>
      </w:r>
      <w:r w:rsidRPr="00377607">
        <w:rPr>
          <w:rFonts w:cs="Arial"/>
          <w:i/>
          <w:iCs/>
          <w:szCs w:val="24"/>
        </w:rPr>
        <w:t>Varennes</w:t>
      </w:r>
      <w:r w:rsidRPr="00377607">
        <w:rPr>
          <w:rFonts w:cs="Arial"/>
          <w:szCs w:val="24"/>
        </w:rPr>
        <w:t xml:space="preserve">, la Cour suprême décrit les grandes lignes du rôle joué par le procureur général : </w:t>
      </w:r>
    </w:p>
    <w:p w14:paraId="304F7AF9" w14:textId="77777777" w:rsidR="005C67B6" w:rsidRPr="00A014FF" w:rsidRDefault="005C67B6" w:rsidP="005C67B6">
      <w:pPr>
        <w:pStyle w:val="Citationenretrait"/>
        <w:spacing w:line="240" w:lineRule="auto"/>
        <w:rPr>
          <w:rFonts w:cs="Arial"/>
          <w:szCs w:val="22"/>
        </w:rPr>
      </w:pPr>
      <w:r w:rsidRPr="00A014FF">
        <w:rPr>
          <w:rFonts w:cs="Arial"/>
          <w:szCs w:val="22"/>
        </w:rPr>
        <w:t>[42]</w:t>
      </w:r>
      <w:r w:rsidRPr="00A014FF">
        <w:rPr>
          <w:rFonts w:cs="Arial"/>
          <w:szCs w:val="22"/>
        </w:rPr>
        <w:tab/>
        <w:t>[…]  Le procureur général est investi de la responsabilité constitutionnelle exclusive de décider s’il y a lieu d’engager le poids de l’État dans le cadre de poursuites criminelles et il est le [traduction] « représentant principal du Souverain devant les tribunaux, au nom duquel la presque totalité des procédures criminelles sont menées ».</w:t>
      </w:r>
    </w:p>
    <w:p w14:paraId="742D7ADF" w14:textId="77777777" w:rsidR="005C67B6" w:rsidRPr="00A014FF" w:rsidRDefault="005C67B6" w:rsidP="005C67B6">
      <w:pPr>
        <w:pStyle w:val="Citationenretrait"/>
        <w:spacing w:line="240" w:lineRule="auto"/>
        <w:rPr>
          <w:rFonts w:cs="Arial"/>
          <w:szCs w:val="22"/>
        </w:rPr>
      </w:pPr>
      <w:r w:rsidRPr="00A014FF">
        <w:rPr>
          <w:rFonts w:cs="Arial"/>
          <w:szCs w:val="22"/>
        </w:rPr>
        <w:t>[43]</w:t>
      </w:r>
      <w:r w:rsidRPr="00A014FF">
        <w:rPr>
          <w:rFonts w:cs="Arial"/>
          <w:szCs w:val="22"/>
        </w:rPr>
        <w:tab/>
        <w:t xml:space="preserve">Les procureurs généraux provinciaux agissent en vertu de la responsabilité attribuée aux provinces en matière d’administration de la justice [...]. Au Québec, le législateur a délégué le rôle de poursuivant du premier conseiller juridique au Directeur des poursuites criminelles et pénales, qui agit « sous l’autorité générale » du procureur général du Québec à titre de substitut légitime de celui‑ci. Les poursuivants de l’État — en l’espèce les poursuivants du Directeur des poursuites criminelles et pénales — agissent à titre de représentants du procureur général et assument ce rôle délégué du premier conseiller juridique dans les différentes poursuites. </w:t>
      </w:r>
    </w:p>
    <w:p w14:paraId="0FCFA3BE" w14:textId="35C5CADC" w:rsidR="005C67B6" w:rsidRDefault="005C67B6" w:rsidP="005C67B6">
      <w:pPr>
        <w:pStyle w:val="Citationenretrait"/>
        <w:spacing w:line="240" w:lineRule="auto"/>
        <w:rPr>
          <w:szCs w:val="22"/>
        </w:rPr>
      </w:pPr>
      <w:r w:rsidRPr="00A014FF">
        <w:rPr>
          <w:rFonts w:cs="Arial"/>
          <w:szCs w:val="22"/>
        </w:rPr>
        <w:t>[44]</w:t>
      </w:r>
      <w:r w:rsidRPr="00A014FF">
        <w:rPr>
          <w:rFonts w:cs="Arial"/>
          <w:szCs w:val="22"/>
        </w:rPr>
        <w:tab/>
        <w:t xml:space="preserve">Les procureurs généraux exercent leur fonction constitutionnelle de premier conseiller juridique de façon indépendante de toute considération partisane et prennent leurs décisions en matière de poursuites sans ingérence de la part de leurs collègues du cabinet. Individuellement, les poursuivants doivent également tenir compte de l’intérêt public plus large pendant tout le déroulement des procédures criminelles. [...] Plus récemment, notre Cour a statué que le principe selon lequel les poursuivants doivent agir dans l’intérêt public et non [traduction] « pour le bien du gouvernement au pouvoir » constitue un principe de justice fondamentale visé à l’art. 7 de la </w:t>
      </w:r>
      <w:r w:rsidRPr="00A014FF">
        <w:rPr>
          <w:rFonts w:cs="Arial"/>
          <w:i/>
          <w:iCs/>
          <w:szCs w:val="22"/>
        </w:rPr>
        <w:t>Charte</w:t>
      </w:r>
      <w:r w:rsidRPr="00A014FF">
        <w:rPr>
          <w:rFonts w:cs="Arial"/>
          <w:szCs w:val="22"/>
        </w:rPr>
        <w:t>.</w:t>
      </w:r>
      <w:r w:rsidRPr="00A014FF">
        <w:rPr>
          <w:rStyle w:val="Appelnotedebasdep"/>
          <w:rFonts w:cs="Arial"/>
          <w:color w:val="000000"/>
          <w:szCs w:val="22"/>
          <w:lang w:val="en-CA"/>
        </w:rPr>
        <w:footnoteReference w:id="22"/>
      </w:r>
    </w:p>
    <w:p w14:paraId="2BC964B3" w14:textId="77777777" w:rsidR="005C67B6" w:rsidRPr="00176180" w:rsidRDefault="005C67B6" w:rsidP="009D6546">
      <w:pPr>
        <w:pStyle w:val="Citationenretrait"/>
        <w:spacing w:before="0" w:line="240" w:lineRule="auto"/>
        <w:jc w:val="right"/>
        <w:rPr>
          <w:szCs w:val="22"/>
        </w:rPr>
      </w:pPr>
      <w:r>
        <w:rPr>
          <w:szCs w:val="22"/>
        </w:rPr>
        <w:t>[Renvois omis]</w:t>
      </w:r>
    </w:p>
    <w:p w14:paraId="6828F51A" w14:textId="77777777" w:rsidR="005C67B6" w:rsidRPr="00EB28CD" w:rsidRDefault="005C67B6" w:rsidP="005C67B6">
      <w:pPr>
        <w:pStyle w:val="Paragraphe"/>
        <w:spacing w:line="240" w:lineRule="auto"/>
        <w:rPr>
          <w:rFonts w:cs="Arial"/>
          <w:szCs w:val="24"/>
        </w:rPr>
      </w:pPr>
      <w:r w:rsidRPr="00377607">
        <w:rPr>
          <w:rFonts w:cs="Arial"/>
          <w:szCs w:val="24"/>
        </w:rPr>
        <w:t xml:space="preserve">Les tribunaux canadiens ont énoncé différents principes concernant les fonctions de procureur général </w:t>
      </w:r>
      <w:r>
        <w:rPr>
          <w:rFonts w:cs="Arial"/>
          <w:szCs w:val="24"/>
        </w:rPr>
        <w:t>en tant que</w:t>
      </w:r>
      <w:r w:rsidRPr="00377607">
        <w:rPr>
          <w:rFonts w:cs="Arial"/>
          <w:szCs w:val="24"/>
        </w:rPr>
        <w:t xml:space="preserve"> premier conseiller juridique de l</w:t>
      </w:r>
      <w:r>
        <w:rPr>
          <w:rFonts w:cs="Arial"/>
          <w:szCs w:val="24"/>
        </w:rPr>
        <w:t>’</w:t>
      </w:r>
      <w:r w:rsidRPr="00377607">
        <w:rPr>
          <w:rFonts w:cs="Arial"/>
          <w:szCs w:val="24"/>
        </w:rPr>
        <w:t xml:space="preserve">État et premier poursuivant en matière criminelle. Tous ces principes sont teintés par une particularité du gouvernement canadien, soit que les fonctions de procureur général et de ministre de la Justice, bien que distinctes, sont exécutées par </w:t>
      </w:r>
      <w:r>
        <w:rPr>
          <w:rFonts w:cs="Arial"/>
          <w:szCs w:val="24"/>
        </w:rPr>
        <w:t>une seule et</w:t>
      </w:r>
      <w:r w:rsidRPr="00377607">
        <w:rPr>
          <w:rFonts w:cs="Arial"/>
          <w:szCs w:val="24"/>
        </w:rPr>
        <w:t xml:space="preserve"> même personne au sein du </w:t>
      </w:r>
      <w:r>
        <w:rPr>
          <w:rFonts w:cs="Arial"/>
          <w:szCs w:val="24"/>
        </w:rPr>
        <w:t>c</w:t>
      </w:r>
      <w:r w:rsidRPr="00377607">
        <w:rPr>
          <w:rFonts w:cs="Arial"/>
          <w:szCs w:val="24"/>
        </w:rPr>
        <w:t xml:space="preserve">abinet. </w:t>
      </w:r>
    </w:p>
    <w:p w14:paraId="064FCAA1" w14:textId="77777777" w:rsidR="005C67B6" w:rsidRPr="00A014FF" w:rsidRDefault="005C67B6" w:rsidP="005C67B6">
      <w:pPr>
        <w:pStyle w:val="Paragraphe"/>
        <w:spacing w:line="240" w:lineRule="auto"/>
        <w:rPr>
          <w:rFonts w:cs="Arial"/>
          <w:szCs w:val="24"/>
        </w:rPr>
      </w:pPr>
      <w:r w:rsidRPr="00377607">
        <w:rPr>
          <w:rFonts w:cs="Arial"/>
          <w:szCs w:val="24"/>
        </w:rPr>
        <w:t>Les tribunaux ont maintes fois affirmé que les fonctions relevant du procureur général demeurent en principe indépendantes de celles de ministre de la Justice et à tous égards</w:t>
      </w:r>
      <w:r>
        <w:rPr>
          <w:rFonts w:cs="Arial"/>
          <w:szCs w:val="24"/>
        </w:rPr>
        <w:t>,</w:t>
      </w:r>
      <w:r w:rsidRPr="00377607">
        <w:rPr>
          <w:rFonts w:cs="Arial"/>
          <w:szCs w:val="24"/>
        </w:rPr>
        <w:t xml:space="preserve"> indépendantes de tout type d</w:t>
      </w:r>
      <w:r>
        <w:rPr>
          <w:rFonts w:cs="Arial"/>
          <w:szCs w:val="24"/>
        </w:rPr>
        <w:t>’</w:t>
      </w:r>
      <w:r w:rsidRPr="00377607">
        <w:rPr>
          <w:rFonts w:cs="Arial"/>
          <w:szCs w:val="24"/>
        </w:rPr>
        <w:t>influence partisane ou d</w:t>
      </w:r>
      <w:r>
        <w:rPr>
          <w:rFonts w:cs="Arial"/>
          <w:szCs w:val="24"/>
        </w:rPr>
        <w:t>’</w:t>
      </w:r>
      <w:r w:rsidRPr="00377607">
        <w:rPr>
          <w:rFonts w:cs="Arial"/>
          <w:szCs w:val="24"/>
        </w:rPr>
        <w:t>intérêt partisan</w:t>
      </w:r>
      <w:r>
        <w:rPr>
          <w:rStyle w:val="Appelnotedebasdep"/>
          <w:rFonts w:cs="Arial"/>
          <w:szCs w:val="24"/>
        </w:rPr>
        <w:footnoteReference w:id="23"/>
      </w:r>
      <w:r>
        <w:rPr>
          <w:rFonts w:cs="Arial"/>
          <w:szCs w:val="24"/>
        </w:rPr>
        <w:t>.</w:t>
      </w:r>
      <w:r w:rsidRPr="00377607">
        <w:rPr>
          <w:rFonts w:cs="Arial"/>
          <w:szCs w:val="24"/>
        </w:rPr>
        <w:t xml:space="preserve"> Ils ont reconnu l</w:t>
      </w:r>
      <w:r>
        <w:rPr>
          <w:rFonts w:cs="Arial"/>
          <w:szCs w:val="24"/>
        </w:rPr>
        <w:t>’</w:t>
      </w:r>
      <w:r w:rsidRPr="00377607">
        <w:rPr>
          <w:rFonts w:cs="Arial"/>
          <w:szCs w:val="24"/>
        </w:rPr>
        <w:t>indépendance du procureur général comme un principe de justice fondamentale consacré par la Constitution. Dans l</w:t>
      </w:r>
      <w:r>
        <w:rPr>
          <w:rFonts w:cs="Arial"/>
          <w:szCs w:val="24"/>
        </w:rPr>
        <w:t>’</w:t>
      </w:r>
      <w:r w:rsidRPr="00377607">
        <w:rPr>
          <w:rFonts w:cs="Arial"/>
          <w:szCs w:val="24"/>
        </w:rPr>
        <w:t xml:space="preserve">arrêt </w:t>
      </w:r>
      <w:r w:rsidRPr="00377607">
        <w:rPr>
          <w:rFonts w:cs="Arial"/>
          <w:i/>
          <w:iCs/>
          <w:szCs w:val="24"/>
        </w:rPr>
        <w:t>Cawthorne</w:t>
      </w:r>
      <w:r w:rsidRPr="00377607">
        <w:rPr>
          <w:rFonts w:cs="Arial"/>
          <w:szCs w:val="24"/>
        </w:rPr>
        <w:t>, la Cour suprême écrit</w:t>
      </w:r>
      <w:r>
        <w:rPr>
          <w:rFonts w:cs="Arial"/>
          <w:szCs w:val="24"/>
        </w:rPr>
        <w:t> :</w:t>
      </w:r>
      <w:r w:rsidRPr="00377607">
        <w:rPr>
          <w:rFonts w:cs="Arial"/>
          <w:szCs w:val="24"/>
        </w:rPr>
        <w:t xml:space="preserve"> </w:t>
      </w:r>
    </w:p>
    <w:p w14:paraId="3E1D3058" w14:textId="5DC2566E" w:rsidR="005C67B6" w:rsidRPr="00A014FF" w:rsidRDefault="005C67B6" w:rsidP="005C67B6">
      <w:pPr>
        <w:pStyle w:val="Citationenretrait"/>
        <w:spacing w:line="240" w:lineRule="auto"/>
        <w:rPr>
          <w:rFonts w:cs="Arial"/>
          <w:szCs w:val="22"/>
        </w:rPr>
      </w:pPr>
      <w:r w:rsidRPr="00A014FF">
        <w:rPr>
          <w:rFonts w:cs="Arial"/>
          <w:szCs w:val="22"/>
        </w:rPr>
        <w:t>[23]</w:t>
      </w:r>
      <w:r w:rsidRPr="00A014FF">
        <w:rPr>
          <w:rFonts w:cs="Arial"/>
          <w:szCs w:val="22"/>
        </w:rPr>
        <w:tab/>
        <w:t xml:space="preserve">S’exprimant au nom de la Cour dans </w:t>
      </w:r>
      <w:r w:rsidRPr="00A014FF">
        <w:rPr>
          <w:rFonts w:cs="Arial"/>
          <w:i/>
          <w:iCs/>
          <w:szCs w:val="22"/>
        </w:rPr>
        <w:t>Krieger c. Law Society of Alberta</w:t>
      </w:r>
      <w:r w:rsidRPr="00A014FF">
        <w:rPr>
          <w:rFonts w:cs="Arial"/>
          <w:szCs w:val="22"/>
        </w:rPr>
        <w:t xml:space="preserve">, les juges Iacobucci et Major ont souligné que « [d]ans notre pays, un principe constitutionnel veut que le procureur général agisse indépendamment de toute considération partisane lorsqu’il supervise les décisions d’un procureur du ministère public ». La juge Charron a repris cette idée dans </w:t>
      </w:r>
      <w:r w:rsidRPr="00A014FF">
        <w:rPr>
          <w:rFonts w:cs="Arial"/>
          <w:i/>
          <w:iCs/>
          <w:szCs w:val="22"/>
        </w:rPr>
        <w:t>Miazga c. Kvello (Succession)</w:t>
      </w:r>
      <w:r w:rsidRPr="00A014FF">
        <w:rPr>
          <w:rFonts w:cs="Arial"/>
          <w:szCs w:val="22"/>
        </w:rPr>
        <w:t xml:space="preserve">, décrivant l’indépendance du procureur général comme un principe « consacr[é] par la Constitution » qui « veut que le procureur général agisse indépendamment de toute pression politique du gouvernement ». Or, la logique de ces affirmations s’étend clairement aux procureurs du ministère public et aux autres fonctionnaires exerçant une fonction de poursuivant. D’ailleurs, les arrêts </w:t>
      </w:r>
      <w:r w:rsidRPr="00A014FF">
        <w:rPr>
          <w:rFonts w:cs="Arial"/>
          <w:i/>
          <w:iCs/>
          <w:szCs w:val="22"/>
        </w:rPr>
        <w:t>Krieger</w:t>
      </w:r>
      <w:r w:rsidRPr="00A014FF">
        <w:rPr>
          <w:rFonts w:cs="Arial"/>
          <w:szCs w:val="22"/>
        </w:rPr>
        <w:t xml:space="preserve"> et </w:t>
      </w:r>
      <w:r w:rsidRPr="00A014FF">
        <w:rPr>
          <w:rFonts w:cs="Arial"/>
          <w:i/>
          <w:iCs/>
          <w:szCs w:val="22"/>
        </w:rPr>
        <w:t>Miazga</w:t>
      </w:r>
      <w:r w:rsidRPr="00A014FF">
        <w:rPr>
          <w:rFonts w:cs="Arial"/>
          <w:szCs w:val="22"/>
        </w:rPr>
        <w:t xml:space="preserve"> citent tous deux avec approbation les motifs du juge Binnie [...] où il a fait remarquer que le devoir d’un procureur de la Couronne « de s’acquitter de ses obligations d’objectivité et d’indépendance de “représentant de la justice” » répondait aisément aux critères de reconnaissance d’un principe de justice fondamentale au sens de l’art. 7 de la </w:t>
      </w:r>
      <w:r w:rsidRPr="00A014FF">
        <w:rPr>
          <w:rFonts w:cs="Arial"/>
          <w:i/>
          <w:iCs/>
          <w:szCs w:val="22"/>
        </w:rPr>
        <w:t>Charte</w:t>
      </w:r>
      <w:r w:rsidRPr="00A014FF">
        <w:rPr>
          <w:rFonts w:cs="Arial"/>
          <w:szCs w:val="22"/>
        </w:rPr>
        <w:t>.</w:t>
      </w:r>
      <w:r w:rsidR="009D6546" w:rsidRPr="00A014FF">
        <w:rPr>
          <w:rFonts w:cs="Arial"/>
          <w:szCs w:val="22"/>
        </w:rPr>
        <w:t xml:space="preserve"> </w:t>
      </w:r>
    </w:p>
    <w:p w14:paraId="00D4801B" w14:textId="77777777" w:rsidR="005C67B6" w:rsidRDefault="005C67B6" w:rsidP="005C67B6">
      <w:pPr>
        <w:pStyle w:val="Citationenretrait"/>
        <w:spacing w:line="240" w:lineRule="auto"/>
        <w:rPr>
          <w:rFonts w:cs="Arial"/>
          <w:szCs w:val="22"/>
        </w:rPr>
      </w:pPr>
      <w:r w:rsidRPr="00A014FF">
        <w:rPr>
          <w:rFonts w:cs="Arial"/>
          <w:szCs w:val="22"/>
        </w:rPr>
        <w:t>[</w:t>
      </w:r>
      <w:bookmarkStart w:id="14" w:name="par24"/>
      <w:r w:rsidRPr="00A014FF">
        <w:rPr>
          <w:rFonts w:cs="Arial"/>
          <w:szCs w:val="22"/>
        </w:rPr>
        <w:t>24</w:t>
      </w:r>
      <w:bookmarkEnd w:id="14"/>
      <w:r w:rsidRPr="00A014FF">
        <w:rPr>
          <w:rFonts w:cs="Arial"/>
          <w:szCs w:val="22"/>
        </w:rPr>
        <w:t>]</w:t>
      </w:r>
      <w:r w:rsidRPr="00A014FF">
        <w:rPr>
          <w:rFonts w:cs="Arial"/>
          <w:szCs w:val="22"/>
        </w:rPr>
        <w:tab/>
        <w:t>Cette jurisprudence établit qu’un poursuivant — qu’il s’agisse d’un procureur général, d’un procureur du ministère public ou d’un autre fonctionnaire exerçant une fonction de poursuivant — a l’obligation constitutionnelle d’agir indépendamment de toute considération partisane et d’autres motifs illégitimes.</w:t>
      </w:r>
      <w:r w:rsidRPr="00A014FF">
        <w:rPr>
          <w:rStyle w:val="Appelnotedebasdep"/>
          <w:rFonts w:cs="Arial"/>
          <w:szCs w:val="22"/>
        </w:rPr>
        <w:footnoteReference w:id="24"/>
      </w:r>
    </w:p>
    <w:p w14:paraId="73434101" w14:textId="77777777" w:rsidR="005C67B6" w:rsidRPr="00A014FF" w:rsidRDefault="005C67B6" w:rsidP="005C67B6">
      <w:pPr>
        <w:pStyle w:val="Citationenretrait"/>
        <w:spacing w:line="240" w:lineRule="auto"/>
        <w:jc w:val="right"/>
        <w:rPr>
          <w:rFonts w:cs="Arial"/>
          <w:szCs w:val="22"/>
          <w:lang w:val="en-CA"/>
        </w:rPr>
      </w:pPr>
      <w:r>
        <w:rPr>
          <w:rFonts w:cs="Arial"/>
          <w:szCs w:val="22"/>
        </w:rPr>
        <w:t>[Renvois omis]</w:t>
      </w:r>
    </w:p>
    <w:p w14:paraId="7621C237" w14:textId="77777777" w:rsidR="005C67B6" w:rsidRPr="00EB28CD" w:rsidRDefault="005C67B6" w:rsidP="005C67B6">
      <w:pPr>
        <w:pStyle w:val="Paragraphe"/>
        <w:spacing w:before="240" w:line="240" w:lineRule="auto"/>
        <w:rPr>
          <w:rFonts w:cs="Arial"/>
          <w:szCs w:val="24"/>
        </w:rPr>
      </w:pPr>
      <w:r w:rsidRPr="00377607">
        <w:rPr>
          <w:rFonts w:cs="Arial"/>
          <w:szCs w:val="24"/>
        </w:rPr>
        <w:t xml:space="preserve">Les tribunaux ont également </w:t>
      </w:r>
      <w:r>
        <w:rPr>
          <w:rFonts w:cs="Arial"/>
          <w:szCs w:val="24"/>
        </w:rPr>
        <w:t>rappelé l</w:t>
      </w:r>
      <w:r w:rsidRPr="00377607">
        <w:rPr>
          <w:rFonts w:cs="Arial"/>
          <w:szCs w:val="24"/>
        </w:rPr>
        <w:t>es « fonctions principales » du procureur général dans l</w:t>
      </w:r>
      <w:r>
        <w:rPr>
          <w:rFonts w:cs="Arial"/>
          <w:szCs w:val="24"/>
        </w:rPr>
        <w:t>’</w:t>
      </w:r>
      <w:r w:rsidRPr="00377607">
        <w:rPr>
          <w:rFonts w:cs="Arial"/>
          <w:szCs w:val="24"/>
        </w:rPr>
        <w:t>exercice de son pouvoir en matière de poursuites</w:t>
      </w:r>
      <w:r>
        <w:rPr>
          <w:rFonts w:cs="Arial"/>
          <w:szCs w:val="24"/>
        </w:rPr>
        <w:t>, dont</w:t>
      </w:r>
      <w:r w:rsidRPr="00377607">
        <w:rPr>
          <w:rFonts w:cs="Arial"/>
          <w:szCs w:val="24"/>
        </w:rPr>
        <w:t xml:space="preserve"> la décision de porter un jugement en appel</w:t>
      </w:r>
      <w:r>
        <w:rPr>
          <w:rStyle w:val="Appelnotedebasdep"/>
          <w:rFonts w:cs="Arial"/>
          <w:szCs w:val="24"/>
        </w:rPr>
        <w:footnoteReference w:id="25"/>
      </w:r>
      <w:r>
        <w:rPr>
          <w:rFonts w:cs="Arial"/>
          <w:szCs w:val="24"/>
        </w:rPr>
        <w:t>.</w:t>
      </w:r>
      <w:r w:rsidRPr="00377607">
        <w:rPr>
          <w:rFonts w:cs="Arial"/>
          <w:szCs w:val="24"/>
        </w:rPr>
        <w:t xml:space="preserve"> </w:t>
      </w:r>
    </w:p>
    <w:p w14:paraId="0824B14B" w14:textId="77777777" w:rsidR="005C67B6" w:rsidRPr="00377607" w:rsidRDefault="005C67B6" w:rsidP="005C67B6">
      <w:pPr>
        <w:pStyle w:val="Paragraphe"/>
        <w:numPr>
          <w:ilvl w:val="0"/>
          <w:numId w:val="0"/>
        </w:numPr>
        <w:spacing w:line="240" w:lineRule="auto"/>
        <w:rPr>
          <w:rFonts w:cs="Arial"/>
          <w:b/>
          <w:bCs/>
          <w:szCs w:val="24"/>
        </w:rPr>
      </w:pPr>
      <w:r w:rsidRPr="00377607">
        <w:rPr>
          <w:rFonts w:cs="Arial"/>
          <w:b/>
          <w:bCs/>
          <w:szCs w:val="24"/>
        </w:rPr>
        <w:t>Cadre lég</w:t>
      </w:r>
      <w:r>
        <w:rPr>
          <w:rFonts w:cs="Arial"/>
          <w:b/>
          <w:bCs/>
          <w:szCs w:val="24"/>
        </w:rPr>
        <w:t>islatif</w:t>
      </w:r>
    </w:p>
    <w:p w14:paraId="02B240B9" w14:textId="77777777" w:rsidR="005C67B6" w:rsidRPr="00EB28CD" w:rsidRDefault="005C67B6" w:rsidP="005C67B6">
      <w:pPr>
        <w:pStyle w:val="Paragraphe"/>
        <w:spacing w:line="240" w:lineRule="auto"/>
        <w:rPr>
          <w:rFonts w:cs="Arial"/>
          <w:szCs w:val="24"/>
        </w:rPr>
      </w:pPr>
      <w:r w:rsidRPr="00984336">
        <w:rPr>
          <w:rFonts w:cs="Arial"/>
          <w:szCs w:val="24"/>
        </w:rPr>
        <w:t>Jusqu’à</w:t>
      </w:r>
      <w:r w:rsidRPr="00377607">
        <w:rPr>
          <w:rFonts w:cs="Arial"/>
          <w:szCs w:val="24"/>
        </w:rPr>
        <w:t xml:space="preserve"> la création de la charge de DPCP, les poursuites publiques se déroulaient au Québec sous l</w:t>
      </w:r>
      <w:r>
        <w:rPr>
          <w:rFonts w:cs="Arial"/>
          <w:szCs w:val="24"/>
        </w:rPr>
        <w:t>’</w:t>
      </w:r>
      <w:r w:rsidRPr="00377607">
        <w:rPr>
          <w:rFonts w:cs="Arial"/>
          <w:szCs w:val="24"/>
        </w:rPr>
        <w:t xml:space="preserve">autorité du procureur général. </w:t>
      </w:r>
      <w:r>
        <w:rPr>
          <w:rFonts w:cs="Arial"/>
          <w:szCs w:val="24"/>
        </w:rPr>
        <w:t xml:space="preserve">On peut distinguer </w:t>
      </w:r>
      <w:r w:rsidRPr="00377607">
        <w:rPr>
          <w:rFonts w:cs="Arial"/>
          <w:szCs w:val="24"/>
        </w:rPr>
        <w:t>plusieurs phases dans l</w:t>
      </w:r>
      <w:r>
        <w:rPr>
          <w:rFonts w:cs="Arial"/>
          <w:szCs w:val="24"/>
        </w:rPr>
        <w:t>’</w:t>
      </w:r>
      <w:r w:rsidRPr="00377607">
        <w:rPr>
          <w:rFonts w:cs="Arial"/>
          <w:szCs w:val="24"/>
        </w:rPr>
        <w:t xml:space="preserve">évolution du pouvoir en matière de poursuites au Québec, </w:t>
      </w:r>
      <w:r>
        <w:rPr>
          <w:rFonts w:cs="Arial"/>
          <w:szCs w:val="24"/>
        </w:rPr>
        <w:t xml:space="preserve">mais </w:t>
      </w:r>
      <w:r w:rsidRPr="00377607">
        <w:rPr>
          <w:rFonts w:cs="Arial"/>
          <w:szCs w:val="24"/>
        </w:rPr>
        <w:t>il n</w:t>
      </w:r>
      <w:r>
        <w:rPr>
          <w:rFonts w:cs="Arial"/>
          <w:szCs w:val="24"/>
        </w:rPr>
        <w:t>’</w:t>
      </w:r>
      <w:r w:rsidRPr="00377607">
        <w:rPr>
          <w:rFonts w:cs="Arial"/>
          <w:szCs w:val="24"/>
        </w:rPr>
        <w:t>est pas nécessaire de décrire chacune d</w:t>
      </w:r>
      <w:r>
        <w:rPr>
          <w:rFonts w:cs="Arial"/>
          <w:szCs w:val="24"/>
        </w:rPr>
        <w:t>’</w:t>
      </w:r>
      <w:r w:rsidRPr="00377607">
        <w:rPr>
          <w:rFonts w:cs="Arial"/>
          <w:szCs w:val="24"/>
        </w:rPr>
        <w:t>elles pour les besoins de l</w:t>
      </w:r>
      <w:r>
        <w:rPr>
          <w:rFonts w:cs="Arial"/>
          <w:szCs w:val="24"/>
        </w:rPr>
        <w:t>’</w:t>
      </w:r>
      <w:r w:rsidRPr="00377607">
        <w:rPr>
          <w:rFonts w:cs="Arial"/>
          <w:szCs w:val="24"/>
        </w:rPr>
        <w:t>espèce</w:t>
      </w:r>
      <w:r>
        <w:rPr>
          <w:rStyle w:val="Appelnotedebasdep"/>
          <w:rFonts w:cs="Arial"/>
          <w:szCs w:val="24"/>
        </w:rPr>
        <w:footnoteReference w:id="26"/>
      </w:r>
      <w:r>
        <w:rPr>
          <w:rFonts w:cs="Arial"/>
          <w:szCs w:val="24"/>
        </w:rPr>
        <w:t>.</w:t>
      </w:r>
      <w:r w:rsidRPr="00377607">
        <w:rPr>
          <w:rFonts w:cs="Arial"/>
          <w:szCs w:val="24"/>
        </w:rPr>
        <w:t xml:space="preserve"> </w:t>
      </w:r>
    </w:p>
    <w:p w14:paraId="0B69AEB6" w14:textId="77777777" w:rsidR="005C67B6" w:rsidRPr="00EB28CD" w:rsidRDefault="005C67B6" w:rsidP="005C67B6">
      <w:pPr>
        <w:pStyle w:val="Paragraphe"/>
        <w:spacing w:line="240" w:lineRule="auto"/>
        <w:rPr>
          <w:rFonts w:cs="Arial"/>
          <w:szCs w:val="24"/>
        </w:rPr>
      </w:pPr>
      <w:r w:rsidRPr="00377607">
        <w:rPr>
          <w:rFonts w:cs="Arial"/>
          <w:szCs w:val="24"/>
        </w:rPr>
        <w:t xml:space="preserve">En tant que PGQ et ministre de la Justice, un même </w:t>
      </w:r>
      <w:r>
        <w:rPr>
          <w:rFonts w:cs="Arial"/>
          <w:szCs w:val="24"/>
        </w:rPr>
        <w:t>représentant</w:t>
      </w:r>
      <w:r w:rsidRPr="00E6752E">
        <w:rPr>
          <w:rFonts w:cs="Arial"/>
          <w:szCs w:val="24"/>
        </w:rPr>
        <w:t xml:space="preserve"> élu</w:t>
      </w:r>
      <w:r w:rsidRPr="00377607">
        <w:rPr>
          <w:rFonts w:cs="Arial"/>
          <w:szCs w:val="24"/>
        </w:rPr>
        <w:t xml:space="preserve"> joue à la fois le rôle de premier conseiller juridique de l</w:t>
      </w:r>
      <w:r>
        <w:rPr>
          <w:rFonts w:cs="Arial"/>
          <w:szCs w:val="24"/>
        </w:rPr>
        <w:t>’</w:t>
      </w:r>
      <w:r w:rsidRPr="00377607">
        <w:rPr>
          <w:rFonts w:cs="Arial"/>
          <w:szCs w:val="24"/>
        </w:rPr>
        <w:t xml:space="preserve">État en ce qui concerne la prestation de services juridiques au gouvernement, y compris la poursuite des infractions criminelles, et </w:t>
      </w:r>
      <w:r>
        <w:rPr>
          <w:rFonts w:cs="Arial"/>
          <w:szCs w:val="24"/>
        </w:rPr>
        <w:t xml:space="preserve">celui </w:t>
      </w:r>
      <w:r w:rsidRPr="00377607">
        <w:rPr>
          <w:rFonts w:cs="Arial"/>
          <w:szCs w:val="24"/>
        </w:rPr>
        <w:t xml:space="preserve">de membre du </w:t>
      </w:r>
      <w:r>
        <w:rPr>
          <w:rFonts w:cs="Arial"/>
          <w:szCs w:val="24"/>
        </w:rPr>
        <w:t>c</w:t>
      </w:r>
      <w:r w:rsidRPr="00377607">
        <w:rPr>
          <w:rFonts w:cs="Arial"/>
          <w:szCs w:val="24"/>
        </w:rPr>
        <w:t>abinet qui conseille le gouvernement sur des questions juridiques de nature politique</w:t>
      </w:r>
      <w:r>
        <w:rPr>
          <w:rStyle w:val="Appelnotedebasdep"/>
          <w:rFonts w:cs="Arial"/>
          <w:szCs w:val="24"/>
        </w:rPr>
        <w:footnoteReference w:id="27"/>
      </w:r>
      <w:r>
        <w:rPr>
          <w:rFonts w:cs="Arial"/>
          <w:szCs w:val="24"/>
        </w:rPr>
        <w:t>.</w:t>
      </w:r>
      <w:r w:rsidRPr="00377607">
        <w:rPr>
          <w:rFonts w:cs="Arial"/>
          <w:szCs w:val="24"/>
        </w:rPr>
        <w:t xml:space="preserve"> La création du DPCP visait la réalisation de deux objectifs liés entre eux par les principes d</w:t>
      </w:r>
      <w:r>
        <w:rPr>
          <w:rFonts w:cs="Arial"/>
          <w:szCs w:val="24"/>
        </w:rPr>
        <w:t>e l’</w:t>
      </w:r>
      <w:r w:rsidRPr="00377607">
        <w:rPr>
          <w:rFonts w:cs="Arial"/>
          <w:szCs w:val="24"/>
        </w:rPr>
        <w:t>indépendance et d</w:t>
      </w:r>
      <w:r>
        <w:rPr>
          <w:rFonts w:cs="Arial"/>
          <w:szCs w:val="24"/>
        </w:rPr>
        <w:t>e l’imputabilité</w:t>
      </w:r>
      <w:r w:rsidRPr="00377607">
        <w:rPr>
          <w:rFonts w:cs="Arial"/>
          <w:szCs w:val="24"/>
        </w:rPr>
        <w:t>. L</w:t>
      </w:r>
      <w:r>
        <w:rPr>
          <w:rFonts w:cs="Arial"/>
          <w:szCs w:val="24"/>
        </w:rPr>
        <w:t>’</w:t>
      </w:r>
      <w:r w:rsidRPr="00377607">
        <w:rPr>
          <w:rFonts w:cs="Arial"/>
          <w:szCs w:val="24"/>
        </w:rPr>
        <w:t>un de ces objectifs était de mettre en évidence l</w:t>
      </w:r>
      <w:r>
        <w:rPr>
          <w:rFonts w:cs="Arial"/>
          <w:szCs w:val="24"/>
        </w:rPr>
        <w:t>’</w:t>
      </w:r>
      <w:r w:rsidRPr="00377607">
        <w:rPr>
          <w:rFonts w:cs="Arial"/>
          <w:szCs w:val="24"/>
        </w:rPr>
        <w:t>espacement existant entre les rôles de ministre de la Justice et de PGQ, sans pour autant les dissocier. Cette mesure a été décrite comme visant à réduire « la promiscuité institutionnelle » existant entre les deux charges</w:t>
      </w:r>
      <w:r>
        <w:rPr>
          <w:rStyle w:val="Appelnotedebasdep"/>
          <w:rFonts w:cs="Arial"/>
          <w:szCs w:val="24"/>
        </w:rPr>
        <w:footnoteReference w:id="28"/>
      </w:r>
      <w:r w:rsidRPr="00377607">
        <w:rPr>
          <w:rFonts w:cs="Arial"/>
          <w:szCs w:val="24"/>
        </w:rPr>
        <w:t xml:space="preserve"> et à tracer une démarcation claire entre les deux. L</w:t>
      </w:r>
      <w:r>
        <w:rPr>
          <w:rFonts w:cs="Arial"/>
          <w:szCs w:val="24"/>
        </w:rPr>
        <w:t>’</w:t>
      </w:r>
      <w:r w:rsidRPr="00377607">
        <w:rPr>
          <w:rFonts w:cs="Arial"/>
          <w:szCs w:val="24"/>
        </w:rPr>
        <w:t>autre objectif était de créer une structure au sein du gouvernement qui mettrait le PGQ à l</w:t>
      </w:r>
      <w:r>
        <w:rPr>
          <w:rFonts w:cs="Arial"/>
          <w:szCs w:val="24"/>
        </w:rPr>
        <w:t>’</w:t>
      </w:r>
      <w:r w:rsidRPr="00377607">
        <w:rPr>
          <w:rFonts w:cs="Arial"/>
          <w:szCs w:val="24"/>
        </w:rPr>
        <w:t>abri de manière plus transparente de toute considération susceptible d</w:t>
      </w:r>
      <w:r>
        <w:rPr>
          <w:rFonts w:cs="Arial"/>
          <w:szCs w:val="24"/>
        </w:rPr>
        <w:t>’</w:t>
      </w:r>
      <w:r w:rsidRPr="00377607">
        <w:rPr>
          <w:rFonts w:cs="Arial"/>
          <w:szCs w:val="24"/>
        </w:rPr>
        <w:t xml:space="preserve">être incompatible avec le principe de Shawcross </w:t>
      </w:r>
      <w:r>
        <w:rPr>
          <w:rFonts w:cs="Arial"/>
          <w:szCs w:val="24"/>
        </w:rPr>
        <w:t>sur l’</w:t>
      </w:r>
      <w:r w:rsidRPr="00377607">
        <w:rPr>
          <w:rFonts w:cs="Arial"/>
          <w:szCs w:val="24"/>
        </w:rPr>
        <w:t xml:space="preserve">indépendance </w:t>
      </w:r>
      <w:r>
        <w:rPr>
          <w:rFonts w:cs="Arial"/>
          <w:szCs w:val="24"/>
        </w:rPr>
        <w:t>en matière de</w:t>
      </w:r>
      <w:r w:rsidRPr="00377607">
        <w:rPr>
          <w:rFonts w:cs="Arial"/>
          <w:szCs w:val="24"/>
        </w:rPr>
        <w:t xml:space="preserve"> poursuites et </w:t>
      </w:r>
      <w:r>
        <w:rPr>
          <w:rFonts w:cs="Arial"/>
          <w:szCs w:val="24"/>
        </w:rPr>
        <w:t>l’imputabilité</w:t>
      </w:r>
      <w:r w:rsidRPr="00377607">
        <w:rPr>
          <w:rFonts w:cs="Arial"/>
          <w:szCs w:val="24"/>
        </w:rPr>
        <w:t xml:space="preserve">. La Loi </w:t>
      </w:r>
      <w:r>
        <w:rPr>
          <w:rFonts w:cs="Arial"/>
          <w:szCs w:val="24"/>
        </w:rPr>
        <w:t xml:space="preserve">a </w:t>
      </w:r>
      <w:r w:rsidRPr="00377607">
        <w:rPr>
          <w:rFonts w:cs="Arial"/>
          <w:szCs w:val="24"/>
        </w:rPr>
        <w:t>cré</w:t>
      </w:r>
      <w:r>
        <w:rPr>
          <w:rFonts w:cs="Arial"/>
          <w:szCs w:val="24"/>
        </w:rPr>
        <w:t>é</w:t>
      </w:r>
      <w:r w:rsidRPr="00377607">
        <w:rPr>
          <w:rFonts w:cs="Arial"/>
          <w:szCs w:val="24"/>
        </w:rPr>
        <w:t xml:space="preserve"> un </w:t>
      </w:r>
      <w:r>
        <w:rPr>
          <w:rFonts w:cs="Arial"/>
          <w:szCs w:val="24"/>
        </w:rPr>
        <w:t>espacement</w:t>
      </w:r>
      <w:r w:rsidRPr="00377607">
        <w:rPr>
          <w:rFonts w:cs="Arial"/>
          <w:szCs w:val="24"/>
        </w:rPr>
        <w:t xml:space="preserve"> fonctionnel et administratif, mais pas une dissociation juridique catégorique entre les fonctions distinctes mais complémentaires du PGQ et du DPCP. Entre le </w:t>
      </w:r>
      <w:r>
        <w:rPr>
          <w:rFonts w:cs="Arial"/>
          <w:szCs w:val="24"/>
        </w:rPr>
        <w:t>ministère de la Justice</w:t>
      </w:r>
      <w:r w:rsidRPr="00377607">
        <w:rPr>
          <w:rFonts w:cs="Arial"/>
          <w:szCs w:val="24"/>
        </w:rPr>
        <w:t xml:space="preserve"> et le PGQ, une </w:t>
      </w:r>
      <w:r w:rsidRPr="00E041E7">
        <w:rPr>
          <w:rFonts w:cs="Arial"/>
          <w:szCs w:val="24"/>
        </w:rPr>
        <w:t xml:space="preserve">distinction </w:t>
      </w:r>
      <w:r>
        <w:rPr>
          <w:rFonts w:cs="Arial"/>
          <w:szCs w:val="24"/>
        </w:rPr>
        <w:t>de</w:t>
      </w:r>
      <w:r w:rsidRPr="00E041E7">
        <w:rPr>
          <w:rFonts w:cs="Arial"/>
          <w:szCs w:val="24"/>
        </w:rPr>
        <w:t xml:space="preserve"> </w:t>
      </w:r>
      <w:r>
        <w:rPr>
          <w:rFonts w:cs="Arial"/>
          <w:szCs w:val="24"/>
        </w:rPr>
        <w:t>fond</w:t>
      </w:r>
      <w:r w:rsidRPr="00377607">
        <w:rPr>
          <w:rFonts w:cs="Arial"/>
          <w:szCs w:val="24"/>
        </w:rPr>
        <w:t xml:space="preserve"> existe entre deux fonctions distinctes au sein du gouvernement</w:t>
      </w:r>
      <w:r>
        <w:rPr>
          <w:rFonts w:cs="Arial"/>
          <w:szCs w:val="24"/>
        </w:rPr>
        <w:t>.</w:t>
      </w:r>
      <w:r w:rsidRPr="00377607">
        <w:rPr>
          <w:rFonts w:cs="Arial"/>
          <w:szCs w:val="24"/>
        </w:rPr>
        <w:t xml:space="preserve"> </w:t>
      </w:r>
      <w:r>
        <w:rPr>
          <w:rFonts w:cs="Arial"/>
          <w:szCs w:val="24"/>
        </w:rPr>
        <w:t>L</w:t>
      </w:r>
      <w:r w:rsidRPr="00377607">
        <w:rPr>
          <w:rFonts w:cs="Arial"/>
          <w:szCs w:val="24"/>
        </w:rPr>
        <w:t>e PGQ et le DPCP</w:t>
      </w:r>
      <w:r>
        <w:rPr>
          <w:rFonts w:cs="Arial"/>
          <w:szCs w:val="24"/>
        </w:rPr>
        <w:t xml:space="preserve"> représentent</w:t>
      </w:r>
      <w:r w:rsidRPr="00377607">
        <w:rPr>
          <w:rFonts w:cs="Arial"/>
          <w:szCs w:val="24"/>
        </w:rPr>
        <w:t xml:space="preserve"> </w:t>
      </w:r>
      <w:r>
        <w:rPr>
          <w:rFonts w:cs="Arial"/>
          <w:szCs w:val="24"/>
        </w:rPr>
        <w:t xml:space="preserve">quant à eux </w:t>
      </w:r>
      <w:r w:rsidRPr="00377607">
        <w:rPr>
          <w:rFonts w:cs="Arial"/>
          <w:szCs w:val="24"/>
        </w:rPr>
        <w:t xml:space="preserve">deux </w:t>
      </w:r>
      <w:r>
        <w:rPr>
          <w:rFonts w:cs="Arial"/>
          <w:szCs w:val="24"/>
        </w:rPr>
        <w:t>aspect</w:t>
      </w:r>
      <w:r w:rsidRPr="00377607">
        <w:rPr>
          <w:rFonts w:cs="Arial"/>
          <w:szCs w:val="24"/>
        </w:rPr>
        <w:t>s d</w:t>
      </w:r>
      <w:r>
        <w:rPr>
          <w:rFonts w:cs="Arial"/>
          <w:szCs w:val="24"/>
        </w:rPr>
        <w:t>’</w:t>
      </w:r>
      <w:r w:rsidRPr="00377607">
        <w:rPr>
          <w:rFonts w:cs="Arial"/>
          <w:szCs w:val="24"/>
        </w:rPr>
        <w:t>une seule et même fonction</w:t>
      </w:r>
      <w:r>
        <w:rPr>
          <w:rFonts w:cs="Arial"/>
          <w:szCs w:val="24"/>
        </w:rPr>
        <w:t xml:space="preserve"> qui</w:t>
      </w:r>
      <w:r w:rsidRPr="00377607">
        <w:rPr>
          <w:rFonts w:cs="Arial"/>
          <w:szCs w:val="24"/>
        </w:rPr>
        <w:t xml:space="preserve"> se </w:t>
      </w:r>
      <w:r>
        <w:rPr>
          <w:rFonts w:cs="Arial"/>
          <w:szCs w:val="24"/>
        </w:rPr>
        <w:t>chevauch</w:t>
      </w:r>
      <w:r w:rsidRPr="00377607">
        <w:rPr>
          <w:rFonts w:cs="Arial"/>
          <w:szCs w:val="24"/>
        </w:rPr>
        <w:t xml:space="preserve">ent dans la mesure où </w:t>
      </w:r>
      <w:r>
        <w:rPr>
          <w:rFonts w:cs="Arial"/>
          <w:szCs w:val="24"/>
        </w:rPr>
        <w:t>les fonctions</w:t>
      </w:r>
      <w:r w:rsidRPr="00377607">
        <w:rPr>
          <w:rFonts w:cs="Arial"/>
          <w:szCs w:val="24"/>
        </w:rPr>
        <w:t xml:space="preserve"> de poursuivant</w:t>
      </w:r>
      <w:r>
        <w:rPr>
          <w:rFonts w:cs="Arial"/>
          <w:szCs w:val="24"/>
        </w:rPr>
        <w:t xml:space="preserve"> sont d</w:t>
      </w:r>
      <w:r w:rsidRPr="00377607">
        <w:rPr>
          <w:rFonts w:cs="Arial"/>
          <w:szCs w:val="24"/>
        </w:rPr>
        <w:t>éfini</w:t>
      </w:r>
      <w:r>
        <w:rPr>
          <w:rFonts w:cs="Arial"/>
          <w:szCs w:val="24"/>
        </w:rPr>
        <w:t>es</w:t>
      </w:r>
      <w:r w:rsidRPr="00377607">
        <w:rPr>
          <w:rFonts w:cs="Arial"/>
          <w:szCs w:val="24"/>
        </w:rPr>
        <w:t xml:space="preserve"> dans la </w:t>
      </w:r>
      <w:r w:rsidRPr="00377607">
        <w:rPr>
          <w:rFonts w:cs="Arial"/>
          <w:i/>
          <w:iCs/>
          <w:szCs w:val="24"/>
        </w:rPr>
        <w:t>Loi sur le DPCP</w:t>
      </w:r>
      <w:r w:rsidRPr="00377607">
        <w:rPr>
          <w:rFonts w:cs="Arial"/>
          <w:szCs w:val="24"/>
        </w:rPr>
        <w:t xml:space="preserve">. </w:t>
      </w:r>
    </w:p>
    <w:p w14:paraId="706023C1" w14:textId="77777777" w:rsidR="005C67B6" w:rsidRPr="006F4828" w:rsidRDefault="005C67B6" w:rsidP="005C67B6">
      <w:pPr>
        <w:pStyle w:val="Paragraphe"/>
        <w:spacing w:line="240" w:lineRule="auto"/>
        <w:rPr>
          <w:rFonts w:cs="Arial"/>
          <w:szCs w:val="24"/>
        </w:rPr>
      </w:pPr>
      <w:r w:rsidRPr="00377607">
        <w:rPr>
          <w:rFonts w:cs="Arial"/>
          <w:szCs w:val="24"/>
        </w:rPr>
        <w:t>Malgré la délégation du pouvoir du PGQ en matière de poursuites en faveur du DPCP, le pouvoir du PGQ demeure</w:t>
      </w:r>
      <w:r>
        <w:rPr>
          <w:rFonts w:cs="Arial"/>
          <w:szCs w:val="24"/>
        </w:rPr>
        <w:t xml:space="preserve"> entier</w:t>
      </w:r>
      <w:r w:rsidRPr="00377607">
        <w:rPr>
          <w:rFonts w:cs="Arial"/>
          <w:szCs w:val="24"/>
        </w:rPr>
        <w:t xml:space="preserve">. On ne trouve rien dans la </w:t>
      </w:r>
      <w:r w:rsidRPr="00377607">
        <w:rPr>
          <w:rFonts w:cs="Arial"/>
          <w:i/>
          <w:iCs/>
          <w:szCs w:val="24"/>
        </w:rPr>
        <w:t>Loi sur le MJ</w:t>
      </w:r>
      <w:r w:rsidRPr="00377607">
        <w:rPr>
          <w:rFonts w:cs="Arial"/>
          <w:szCs w:val="24"/>
        </w:rPr>
        <w:t xml:space="preserve">, la </w:t>
      </w:r>
      <w:r w:rsidRPr="00377607">
        <w:rPr>
          <w:rFonts w:cs="Arial"/>
          <w:i/>
          <w:iCs/>
          <w:szCs w:val="24"/>
        </w:rPr>
        <w:t>Loi sur le DPCP</w:t>
      </w:r>
      <w:r w:rsidRPr="00377607">
        <w:rPr>
          <w:rFonts w:cs="Arial"/>
          <w:szCs w:val="24"/>
        </w:rPr>
        <w:t xml:space="preserve"> ni aucune autre loi fédérale ou provinciale qui vienne retirer ou diminuer ce pouvoir. La </w:t>
      </w:r>
      <w:r w:rsidRPr="00377607">
        <w:rPr>
          <w:rFonts w:cs="Arial"/>
          <w:i/>
          <w:iCs/>
          <w:szCs w:val="24"/>
        </w:rPr>
        <w:t>Loi sur le DPCP</w:t>
      </w:r>
      <w:r w:rsidRPr="00377607">
        <w:rPr>
          <w:rFonts w:cs="Arial"/>
          <w:szCs w:val="24"/>
        </w:rPr>
        <w:t xml:space="preserve"> </w:t>
      </w:r>
      <w:r>
        <w:rPr>
          <w:rFonts w:cs="Arial"/>
          <w:szCs w:val="24"/>
        </w:rPr>
        <w:t>précise</w:t>
      </w:r>
      <w:r w:rsidRPr="00377607">
        <w:rPr>
          <w:rFonts w:cs="Arial"/>
          <w:szCs w:val="24"/>
        </w:rPr>
        <w:t xml:space="preserve"> que le DPCP agit « sous l’autorité générale du procureur général »</w:t>
      </w:r>
      <w:r>
        <w:rPr>
          <w:rStyle w:val="Appelnotedebasdep"/>
          <w:rFonts w:cs="Arial"/>
          <w:szCs w:val="24"/>
        </w:rPr>
        <w:footnoteReference w:id="29"/>
      </w:r>
      <w:r>
        <w:rPr>
          <w:rFonts w:cs="Arial"/>
          <w:szCs w:val="24"/>
        </w:rPr>
        <w:t>.</w:t>
      </w:r>
      <w:r w:rsidRPr="00377607">
        <w:rPr>
          <w:rFonts w:cs="Arial"/>
          <w:szCs w:val="24"/>
        </w:rPr>
        <w:t xml:space="preserve"> Elle autorise le procureur général à prendre en charge une poursuite seulement après avoir consulté le directeur et lui avoir donné un avis de son intention de le faire (article 23); et elle autorise le PGQ à intervenir sans autre formalité dans une poursuite en cours (article 24). L</w:t>
      </w:r>
      <w:r>
        <w:rPr>
          <w:rFonts w:cs="Arial"/>
          <w:szCs w:val="24"/>
        </w:rPr>
        <w:t>’</w:t>
      </w:r>
      <w:r w:rsidRPr="00377607">
        <w:rPr>
          <w:rFonts w:cs="Arial"/>
          <w:szCs w:val="24"/>
        </w:rPr>
        <w:t xml:space="preserve">objectif de la </w:t>
      </w:r>
      <w:r w:rsidRPr="00377607">
        <w:rPr>
          <w:rFonts w:cs="Arial"/>
          <w:i/>
          <w:iCs/>
          <w:szCs w:val="24"/>
        </w:rPr>
        <w:t>Loi sur le DPCP</w:t>
      </w:r>
      <w:r w:rsidRPr="00377607">
        <w:rPr>
          <w:rFonts w:cs="Arial"/>
          <w:szCs w:val="24"/>
        </w:rPr>
        <w:t xml:space="preserve"> </w:t>
      </w:r>
      <w:r>
        <w:rPr>
          <w:rFonts w:cs="Arial"/>
          <w:szCs w:val="24"/>
        </w:rPr>
        <w:t xml:space="preserve">est de </w:t>
      </w:r>
      <w:r w:rsidRPr="00377607">
        <w:rPr>
          <w:rFonts w:cs="Arial"/>
          <w:szCs w:val="24"/>
        </w:rPr>
        <w:t>garanti</w:t>
      </w:r>
      <w:r>
        <w:rPr>
          <w:rFonts w:cs="Arial"/>
          <w:szCs w:val="24"/>
        </w:rPr>
        <w:t>r</w:t>
      </w:r>
      <w:r w:rsidRPr="00377607">
        <w:rPr>
          <w:rFonts w:cs="Arial"/>
          <w:szCs w:val="24"/>
        </w:rPr>
        <w:t xml:space="preserve"> que le pouvoir en matière de poursuites s</w:t>
      </w:r>
      <w:r>
        <w:rPr>
          <w:rFonts w:cs="Arial"/>
          <w:szCs w:val="24"/>
        </w:rPr>
        <w:t>’</w:t>
      </w:r>
      <w:r w:rsidRPr="00377607">
        <w:rPr>
          <w:rFonts w:cs="Arial"/>
          <w:szCs w:val="24"/>
        </w:rPr>
        <w:t>exerce à l</w:t>
      </w:r>
      <w:r>
        <w:rPr>
          <w:rFonts w:cs="Arial"/>
          <w:szCs w:val="24"/>
        </w:rPr>
        <w:t>’</w:t>
      </w:r>
      <w:r w:rsidRPr="00377607">
        <w:rPr>
          <w:rFonts w:cs="Arial"/>
          <w:szCs w:val="24"/>
        </w:rPr>
        <w:t xml:space="preserve">abri de toute interférence politique. Elle ne cherche pas à retirer </w:t>
      </w:r>
      <w:r>
        <w:rPr>
          <w:rFonts w:cs="Arial"/>
          <w:szCs w:val="24"/>
        </w:rPr>
        <w:t>la qualité pour agir d</w:t>
      </w:r>
      <w:r w:rsidRPr="00377607">
        <w:rPr>
          <w:rFonts w:cs="Arial"/>
          <w:szCs w:val="24"/>
        </w:rPr>
        <w:t>u PGQ et ne peut être interprétée comme telle, contrairement à une disposition comme l</w:t>
      </w:r>
      <w:r>
        <w:rPr>
          <w:rFonts w:cs="Arial"/>
          <w:szCs w:val="24"/>
        </w:rPr>
        <w:t>’</w:t>
      </w:r>
      <w:r w:rsidRPr="00377607">
        <w:rPr>
          <w:rFonts w:cs="Arial"/>
          <w:szCs w:val="24"/>
        </w:rPr>
        <w:t>article</w:t>
      </w:r>
      <w:r>
        <w:rPr>
          <w:rFonts w:cs="Arial"/>
          <w:szCs w:val="24"/>
        </w:rPr>
        <w:t> </w:t>
      </w:r>
      <w:r w:rsidRPr="00377607">
        <w:rPr>
          <w:rFonts w:cs="Arial"/>
          <w:szCs w:val="24"/>
        </w:rPr>
        <w:t>3, al.</w:t>
      </w:r>
      <w:r>
        <w:rPr>
          <w:rFonts w:cs="Arial"/>
          <w:szCs w:val="24"/>
        </w:rPr>
        <w:t> </w:t>
      </w:r>
      <w:r w:rsidRPr="00377607">
        <w:rPr>
          <w:rFonts w:cs="Arial"/>
          <w:szCs w:val="24"/>
        </w:rPr>
        <w:t xml:space="preserve">c) de la </w:t>
      </w:r>
      <w:r w:rsidRPr="00377607">
        <w:rPr>
          <w:rFonts w:cs="Arial"/>
          <w:i/>
          <w:iCs/>
          <w:szCs w:val="24"/>
        </w:rPr>
        <w:t>Loi sur le MJ</w:t>
      </w:r>
      <w:r>
        <w:rPr>
          <w:rFonts w:cs="Arial"/>
          <w:i/>
          <w:iCs/>
          <w:szCs w:val="24"/>
        </w:rPr>
        <w:t>,</w:t>
      </w:r>
      <w:r w:rsidRPr="00377607">
        <w:rPr>
          <w:rFonts w:cs="Arial"/>
          <w:szCs w:val="24"/>
        </w:rPr>
        <w:t xml:space="preserve"> qui exclut expressément certaines fonctions attribuées au ministre de la Sécurité publique</w:t>
      </w:r>
      <w:r>
        <w:rPr>
          <w:rStyle w:val="Appelnotedebasdep"/>
          <w:rFonts w:cs="Arial"/>
          <w:szCs w:val="24"/>
        </w:rPr>
        <w:footnoteReference w:id="30"/>
      </w:r>
      <w:r>
        <w:rPr>
          <w:rFonts w:cs="Arial"/>
          <w:szCs w:val="24"/>
        </w:rPr>
        <w:t>.</w:t>
      </w:r>
      <w:r w:rsidRPr="00377607">
        <w:rPr>
          <w:rFonts w:cs="Arial"/>
          <w:szCs w:val="24"/>
        </w:rPr>
        <w:t xml:space="preserve"> Non seulement la </w:t>
      </w:r>
      <w:r w:rsidRPr="00377607">
        <w:rPr>
          <w:rFonts w:cs="Arial"/>
          <w:i/>
          <w:iCs/>
          <w:szCs w:val="24"/>
        </w:rPr>
        <w:t>Loi sur le DPCP</w:t>
      </w:r>
      <w:r w:rsidRPr="00377607">
        <w:rPr>
          <w:rFonts w:cs="Arial"/>
          <w:szCs w:val="24"/>
        </w:rPr>
        <w:t xml:space="preserve"> établit le pouvoir indépendant du DPCP, mais elle préserve expressément la qualité pour agir du PGQ, car seul ce dernier peut faire rapport à l</w:t>
      </w:r>
      <w:r>
        <w:rPr>
          <w:rFonts w:cs="Arial"/>
          <w:szCs w:val="24"/>
        </w:rPr>
        <w:t>’</w:t>
      </w:r>
      <w:r w:rsidRPr="00377607">
        <w:rPr>
          <w:rFonts w:cs="Arial"/>
          <w:szCs w:val="24"/>
        </w:rPr>
        <w:t>assemblée législative et donc satisfaire à l</w:t>
      </w:r>
      <w:r>
        <w:rPr>
          <w:rFonts w:cs="Arial"/>
          <w:szCs w:val="24"/>
        </w:rPr>
        <w:t>’</w:t>
      </w:r>
      <w:r w:rsidRPr="00377607">
        <w:rPr>
          <w:rFonts w:cs="Arial"/>
          <w:szCs w:val="24"/>
        </w:rPr>
        <w:t>exigence d</w:t>
      </w:r>
      <w:r>
        <w:rPr>
          <w:rFonts w:cs="Arial"/>
          <w:szCs w:val="24"/>
        </w:rPr>
        <w:t>u</w:t>
      </w:r>
      <w:r w:rsidRPr="00377607">
        <w:rPr>
          <w:rFonts w:cs="Arial"/>
          <w:szCs w:val="24"/>
        </w:rPr>
        <w:t xml:space="preserve"> gouvernement responsable</w:t>
      </w:r>
      <w:r>
        <w:rPr>
          <w:rFonts w:cs="Arial"/>
          <w:szCs w:val="24"/>
        </w:rPr>
        <w:t xml:space="preserve"> dans le respect de l’</w:t>
      </w:r>
      <w:r w:rsidRPr="00377607">
        <w:rPr>
          <w:rFonts w:cs="Arial"/>
          <w:szCs w:val="24"/>
        </w:rPr>
        <w:t>État de droit</w:t>
      </w:r>
      <w:r>
        <w:rPr>
          <w:rStyle w:val="Appelnotedebasdep"/>
          <w:rFonts w:cs="Arial"/>
          <w:szCs w:val="24"/>
        </w:rPr>
        <w:footnoteReference w:id="31"/>
      </w:r>
      <w:r>
        <w:rPr>
          <w:rFonts w:cs="Arial"/>
          <w:szCs w:val="24"/>
        </w:rPr>
        <w:t>.</w:t>
      </w:r>
    </w:p>
    <w:p w14:paraId="33489752" w14:textId="77777777" w:rsidR="005C67B6" w:rsidRPr="00EB28CD" w:rsidRDefault="005C67B6" w:rsidP="005C67B6">
      <w:pPr>
        <w:pStyle w:val="Paragraphe"/>
        <w:spacing w:line="240" w:lineRule="auto"/>
        <w:rPr>
          <w:rFonts w:cs="Arial"/>
          <w:szCs w:val="24"/>
        </w:rPr>
      </w:pPr>
      <w:r w:rsidRPr="00377607">
        <w:rPr>
          <w:rFonts w:cs="Arial"/>
          <w:szCs w:val="24"/>
        </w:rPr>
        <w:t>Plusieurs décisions</w:t>
      </w:r>
      <w:r>
        <w:rPr>
          <w:rStyle w:val="Appelnotedebasdep"/>
          <w:rFonts w:cs="Arial"/>
          <w:szCs w:val="24"/>
        </w:rPr>
        <w:footnoteReference w:id="32"/>
      </w:r>
      <w:r w:rsidRPr="00377607">
        <w:rPr>
          <w:rFonts w:cs="Arial"/>
          <w:szCs w:val="24"/>
        </w:rPr>
        <w:t xml:space="preserve"> se sont intéressées aux fonctions du PGQ et du DPCP et leurs conclusions</w:t>
      </w:r>
      <w:r>
        <w:rPr>
          <w:rFonts w:cs="Arial"/>
          <w:szCs w:val="24"/>
        </w:rPr>
        <w:t xml:space="preserve"> peuvent, </w:t>
      </w:r>
      <w:r w:rsidRPr="00377607">
        <w:rPr>
          <w:rFonts w:cs="Arial"/>
          <w:szCs w:val="24"/>
        </w:rPr>
        <w:t>pour les besoins du présent pourvoi,</w:t>
      </w:r>
      <w:r>
        <w:rPr>
          <w:rFonts w:cs="Arial"/>
          <w:szCs w:val="24"/>
        </w:rPr>
        <w:t xml:space="preserve"> s</w:t>
      </w:r>
      <w:r w:rsidRPr="00377607">
        <w:rPr>
          <w:rFonts w:cs="Arial"/>
          <w:szCs w:val="24"/>
        </w:rPr>
        <w:t xml:space="preserve">e résumer ainsi : </w:t>
      </w:r>
    </w:p>
    <w:p w14:paraId="02E1E4DB" w14:textId="77777777" w:rsidR="005C67B6" w:rsidRPr="00EB28CD" w:rsidRDefault="005C67B6" w:rsidP="005C67B6">
      <w:pPr>
        <w:pStyle w:val="Citationenretrait"/>
        <w:spacing w:line="240" w:lineRule="auto"/>
        <w:rPr>
          <w:rFonts w:cs="Arial"/>
          <w:sz w:val="24"/>
          <w:szCs w:val="24"/>
        </w:rPr>
      </w:pPr>
      <w:r w:rsidRPr="00377607">
        <w:rPr>
          <w:rFonts w:cs="Arial"/>
          <w:sz w:val="24"/>
          <w:szCs w:val="24"/>
        </w:rPr>
        <w:t xml:space="preserve">Le </w:t>
      </w:r>
      <w:r>
        <w:rPr>
          <w:rFonts w:cs="Arial"/>
          <w:sz w:val="24"/>
          <w:szCs w:val="24"/>
        </w:rPr>
        <w:t>ministère de la Justice</w:t>
      </w:r>
      <w:r w:rsidRPr="00377607">
        <w:rPr>
          <w:rFonts w:cs="Arial"/>
          <w:sz w:val="24"/>
          <w:szCs w:val="24"/>
        </w:rPr>
        <w:t xml:space="preserve"> et le PGQ </w:t>
      </w:r>
      <w:r>
        <w:rPr>
          <w:rFonts w:cs="Arial"/>
          <w:sz w:val="24"/>
          <w:szCs w:val="24"/>
        </w:rPr>
        <w:t>exerce</w:t>
      </w:r>
      <w:r w:rsidRPr="00377607">
        <w:rPr>
          <w:rFonts w:cs="Arial"/>
          <w:sz w:val="24"/>
          <w:szCs w:val="24"/>
        </w:rPr>
        <w:t xml:space="preserve">nt des fonctions distinctes. </w:t>
      </w:r>
    </w:p>
    <w:p w14:paraId="2F1564A6" w14:textId="77777777" w:rsidR="005C67B6" w:rsidRPr="00EB28CD" w:rsidRDefault="005C67B6" w:rsidP="005C67B6">
      <w:pPr>
        <w:pStyle w:val="Citationenretrait"/>
        <w:spacing w:line="240" w:lineRule="auto"/>
        <w:rPr>
          <w:rFonts w:cs="Arial"/>
          <w:sz w:val="24"/>
          <w:szCs w:val="24"/>
        </w:rPr>
      </w:pPr>
      <w:r w:rsidRPr="00377607">
        <w:rPr>
          <w:rFonts w:cs="Arial"/>
          <w:sz w:val="24"/>
          <w:szCs w:val="24"/>
        </w:rPr>
        <w:t>Le PGQ exerce diverses fonctions à titre de principal conseiller juridique de l</w:t>
      </w:r>
      <w:r>
        <w:rPr>
          <w:rFonts w:cs="Arial"/>
          <w:sz w:val="24"/>
          <w:szCs w:val="24"/>
        </w:rPr>
        <w:t>’</w:t>
      </w:r>
      <w:r w:rsidRPr="00377607">
        <w:rPr>
          <w:rFonts w:cs="Arial"/>
          <w:sz w:val="24"/>
          <w:szCs w:val="24"/>
        </w:rPr>
        <w:t>État</w:t>
      </w:r>
      <w:r>
        <w:rPr>
          <w:rFonts w:cs="Arial"/>
          <w:sz w:val="24"/>
          <w:szCs w:val="24"/>
        </w:rPr>
        <w:t>, l’</w:t>
      </w:r>
      <w:r w:rsidRPr="00377607">
        <w:rPr>
          <w:rFonts w:cs="Arial"/>
          <w:sz w:val="24"/>
          <w:szCs w:val="24"/>
        </w:rPr>
        <w:t>une d</w:t>
      </w:r>
      <w:r>
        <w:rPr>
          <w:rFonts w:cs="Arial"/>
          <w:sz w:val="24"/>
          <w:szCs w:val="24"/>
        </w:rPr>
        <w:t>’</w:t>
      </w:r>
      <w:r w:rsidRPr="00377607">
        <w:rPr>
          <w:rFonts w:cs="Arial"/>
          <w:sz w:val="24"/>
          <w:szCs w:val="24"/>
        </w:rPr>
        <w:t xml:space="preserve">elles </w:t>
      </w:r>
      <w:r>
        <w:rPr>
          <w:rFonts w:cs="Arial"/>
          <w:sz w:val="24"/>
          <w:szCs w:val="24"/>
        </w:rPr>
        <w:t>étant</w:t>
      </w:r>
      <w:r w:rsidRPr="00377607">
        <w:rPr>
          <w:rFonts w:cs="Arial"/>
          <w:sz w:val="24"/>
          <w:szCs w:val="24"/>
        </w:rPr>
        <w:t xml:space="preserve"> </w:t>
      </w:r>
      <w:r>
        <w:rPr>
          <w:rFonts w:cs="Arial"/>
          <w:sz w:val="24"/>
          <w:szCs w:val="24"/>
        </w:rPr>
        <w:t>d’</w:t>
      </w:r>
      <w:r w:rsidRPr="00377607">
        <w:rPr>
          <w:rFonts w:cs="Arial"/>
          <w:sz w:val="24"/>
          <w:szCs w:val="24"/>
        </w:rPr>
        <w:t>exerc</w:t>
      </w:r>
      <w:r>
        <w:rPr>
          <w:rFonts w:cs="Arial"/>
          <w:sz w:val="24"/>
          <w:szCs w:val="24"/>
        </w:rPr>
        <w:t>er le</w:t>
      </w:r>
      <w:r w:rsidRPr="00377607">
        <w:rPr>
          <w:rFonts w:cs="Arial"/>
          <w:sz w:val="24"/>
          <w:szCs w:val="24"/>
        </w:rPr>
        <w:t xml:space="preserve"> pouvoir d</w:t>
      </w:r>
      <w:r>
        <w:rPr>
          <w:rFonts w:cs="Arial"/>
          <w:sz w:val="24"/>
          <w:szCs w:val="24"/>
        </w:rPr>
        <w:t>’</w:t>
      </w:r>
      <w:r w:rsidRPr="00377607">
        <w:rPr>
          <w:rFonts w:cs="Arial"/>
          <w:sz w:val="24"/>
          <w:szCs w:val="24"/>
        </w:rPr>
        <w:t xml:space="preserve">engager des poursuites. </w:t>
      </w:r>
    </w:p>
    <w:p w14:paraId="62C30BE5" w14:textId="77777777" w:rsidR="005C67B6" w:rsidRPr="00EB28CD" w:rsidRDefault="005C67B6" w:rsidP="005C67B6">
      <w:pPr>
        <w:pStyle w:val="Citationenretrait"/>
        <w:spacing w:line="240" w:lineRule="auto"/>
        <w:rPr>
          <w:rFonts w:cs="Arial"/>
          <w:sz w:val="24"/>
          <w:szCs w:val="24"/>
        </w:rPr>
      </w:pPr>
      <w:r w:rsidRPr="00377607">
        <w:rPr>
          <w:rFonts w:cs="Arial"/>
          <w:sz w:val="24"/>
          <w:szCs w:val="24"/>
        </w:rPr>
        <w:t>Dans l</w:t>
      </w:r>
      <w:r>
        <w:rPr>
          <w:rFonts w:cs="Arial"/>
          <w:sz w:val="24"/>
          <w:szCs w:val="24"/>
        </w:rPr>
        <w:t>’</w:t>
      </w:r>
      <w:r w:rsidRPr="00377607">
        <w:rPr>
          <w:rFonts w:cs="Arial"/>
          <w:sz w:val="24"/>
          <w:szCs w:val="24"/>
        </w:rPr>
        <w:t xml:space="preserve">exercice de son pouvoir à titre de principal poursuivant, le PGQ agit indépendamment de toutes considérations partisanes. </w:t>
      </w:r>
    </w:p>
    <w:p w14:paraId="6FAC4DFE" w14:textId="77777777" w:rsidR="005C67B6" w:rsidRPr="00EB28CD" w:rsidRDefault="005C67B6" w:rsidP="005C67B6">
      <w:pPr>
        <w:pStyle w:val="Citationenretrait"/>
        <w:spacing w:line="240" w:lineRule="auto"/>
        <w:rPr>
          <w:rFonts w:cs="Arial"/>
          <w:sz w:val="24"/>
          <w:szCs w:val="24"/>
        </w:rPr>
      </w:pPr>
      <w:r w:rsidRPr="00377607">
        <w:rPr>
          <w:rFonts w:cs="Arial"/>
          <w:sz w:val="24"/>
          <w:szCs w:val="24"/>
        </w:rPr>
        <w:t>Le DPCP partage avec le PGQ le pouvoir d</w:t>
      </w:r>
      <w:r>
        <w:rPr>
          <w:rFonts w:cs="Arial"/>
          <w:sz w:val="24"/>
          <w:szCs w:val="24"/>
        </w:rPr>
        <w:t>’</w:t>
      </w:r>
      <w:r w:rsidRPr="00377607">
        <w:rPr>
          <w:rFonts w:cs="Arial"/>
          <w:sz w:val="24"/>
          <w:szCs w:val="24"/>
        </w:rPr>
        <w:t>engager des poursuites et agit indépendamment de ce dernier dans l</w:t>
      </w:r>
      <w:r>
        <w:rPr>
          <w:rFonts w:cs="Arial"/>
          <w:sz w:val="24"/>
          <w:szCs w:val="24"/>
        </w:rPr>
        <w:t>’</w:t>
      </w:r>
      <w:r w:rsidRPr="00377607">
        <w:rPr>
          <w:rFonts w:cs="Arial"/>
          <w:sz w:val="24"/>
          <w:szCs w:val="24"/>
        </w:rPr>
        <w:t xml:space="preserve">exercice du pouvoir qui lui est délégué par la </w:t>
      </w:r>
      <w:r w:rsidRPr="00377607">
        <w:rPr>
          <w:rFonts w:cs="Arial"/>
          <w:i/>
          <w:iCs/>
          <w:sz w:val="24"/>
          <w:szCs w:val="24"/>
        </w:rPr>
        <w:t>Loi sur le DPCP</w:t>
      </w:r>
      <w:r w:rsidRPr="00377607">
        <w:rPr>
          <w:rFonts w:cs="Arial"/>
          <w:sz w:val="24"/>
          <w:szCs w:val="24"/>
        </w:rPr>
        <w:t>, ce pouvoir pouvant toutefois également être exercé par le PGQ</w:t>
      </w:r>
      <w:r>
        <w:rPr>
          <w:rFonts w:cs="Arial"/>
          <w:sz w:val="24"/>
          <w:szCs w:val="24"/>
        </w:rPr>
        <w:t xml:space="preserve"> dans le respect de la</w:t>
      </w:r>
      <w:r w:rsidRPr="00377607">
        <w:rPr>
          <w:rFonts w:cs="Arial"/>
          <w:sz w:val="24"/>
          <w:szCs w:val="24"/>
        </w:rPr>
        <w:t xml:space="preserve"> </w:t>
      </w:r>
      <w:r w:rsidRPr="00805B01">
        <w:rPr>
          <w:rFonts w:cs="Arial"/>
          <w:i/>
          <w:iCs/>
          <w:sz w:val="24"/>
          <w:szCs w:val="24"/>
        </w:rPr>
        <w:t>Loi</w:t>
      </w:r>
      <w:r w:rsidRPr="00377607">
        <w:rPr>
          <w:rFonts w:cs="Arial"/>
          <w:sz w:val="24"/>
          <w:szCs w:val="24"/>
        </w:rPr>
        <w:t xml:space="preserve">. </w:t>
      </w:r>
    </w:p>
    <w:p w14:paraId="40390881" w14:textId="77777777" w:rsidR="005C67B6" w:rsidRPr="00EB28CD" w:rsidRDefault="005C67B6" w:rsidP="005C67B6">
      <w:pPr>
        <w:pStyle w:val="Citationenretrait"/>
        <w:spacing w:line="240" w:lineRule="auto"/>
        <w:rPr>
          <w:rFonts w:cs="Arial"/>
          <w:sz w:val="24"/>
          <w:szCs w:val="24"/>
        </w:rPr>
      </w:pPr>
      <w:r w:rsidRPr="00377607">
        <w:rPr>
          <w:rFonts w:cs="Arial"/>
          <w:sz w:val="24"/>
          <w:szCs w:val="24"/>
        </w:rPr>
        <w:t>Le PGQ s</w:t>
      </w:r>
      <w:r>
        <w:rPr>
          <w:rFonts w:cs="Arial"/>
          <w:sz w:val="24"/>
          <w:szCs w:val="24"/>
        </w:rPr>
        <w:t>’</w:t>
      </w:r>
      <w:r w:rsidRPr="00377607">
        <w:rPr>
          <w:rFonts w:cs="Arial"/>
          <w:sz w:val="24"/>
          <w:szCs w:val="24"/>
        </w:rPr>
        <w:t>en remet à l</w:t>
      </w:r>
      <w:r>
        <w:rPr>
          <w:rFonts w:cs="Arial"/>
          <w:sz w:val="24"/>
          <w:szCs w:val="24"/>
        </w:rPr>
        <w:t>’</w:t>
      </w:r>
      <w:r w:rsidRPr="00377607">
        <w:rPr>
          <w:rFonts w:cs="Arial"/>
          <w:sz w:val="24"/>
          <w:szCs w:val="24"/>
        </w:rPr>
        <w:t>indépendance du DPCP dans l</w:t>
      </w:r>
      <w:r>
        <w:rPr>
          <w:rFonts w:cs="Arial"/>
          <w:sz w:val="24"/>
          <w:szCs w:val="24"/>
        </w:rPr>
        <w:t>’</w:t>
      </w:r>
      <w:r w:rsidRPr="00377607">
        <w:rPr>
          <w:rFonts w:cs="Arial"/>
          <w:sz w:val="24"/>
          <w:szCs w:val="24"/>
        </w:rPr>
        <w:t>exercice du pouvoir d</w:t>
      </w:r>
      <w:r>
        <w:rPr>
          <w:rFonts w:cs="Arial"/>
          <w:sz w:val="24"/>
          <w:szCs w:val="24"/>
        </w:rPr>
        <w:t>’</w:t>
      </w:r>
      <w:r w:rsidRPr="00377607">
        <w:rPr>
          <w:rFonts w:cs="Arial"/>
          <w:sz w:val="24"/>
          <w:szCs w:val="24"/>
        </w:rPr>
        <w:t>engager des poursuites, sauf en présence d</w:t>
      </w:r>
      <w:r>
        <w:rPr>
          <w:rFonts w:cs="Arial"/>
          <w:sz w:val="24"/>
          <w:szCs w:val="24"/>
        </w:rPr>
        <w:t>’</w:t>
      </w:r>
      <w:r w:rsidRPr="00377607">
        <w:rPr>
          <w:rFonts w:cs="Arial"/>
          <w:sz w:val="24"/>
          <w:szCs w:val="24"/>
        </w:rPr>
        <w:t>une question d</w:t>
      </w:r>
      <w:r>
        <w:rPr>
          <w:rFonts w:cs="Arial"/>
          <w:sz w:val="24"/>
          <w:szCs w:val="24"/>
        </w:rPr>
        <w:t>’</w:t>
      </w:r>
      <w:r w:rsidRPr="00377607">
        <w:rPr>
          <w:rFonts w:cs="Arial"/>
          <w:sz w:val="24"/>
          <w:szCs w:val="24"/>
        </w:rPr>
        <w:t xml:space="preserve">intérêt général pour le public, notamment une question de validité constitutionnelle, laquelle relève des fonctions du PGQ. </w:t>
      </w:r>
    </w:p>
    <w:p w14:paraId="670800D2" w14:textId="77777777" w:rsidR="005C67B6" w:rsidRPr="00EB28CD" w:rsidRDefault="005C67B6" w:rsidP="005C67B6">
      <w:pPr>
        <w:pStyle w:val="Paragraphe"/>
        <w:spacing w:line="240" w:lineRule="auto"/>
        <w:rPr>
          <w:rFonts w:cs="Arial"/>
          <w:szCs w:val="24"/>
        </w:rPr>
      </w:pPr>
      <w:r w:rsidRPr="00377607">
        <w:rPr>
          <w:rFonts w:cs="Arial"/>
          <w:szCs w:val="24"/>
        </w:rPr>
        <w:t xml:space="preserve">À mon avis, il faut en conclure que le PGQ peut agir comme partie dans </w:t>
      </w:r>
      <w:r>
        <w:rPr>
          <w:rFonts w:cs="Arial"/>
          <w:szCs w:val="24"/>
        </w:rPr>
        <w:t>tout</w:t>
      </w:r>
      <w:r w:rsidRPr="00377607">
        <w:rPr>
          <w:rFonts w:cs="Arial"/>
          <w:szCs w:val="24"/>
        </w:rPr>
        <w:t xml:space="preserve"> appel en matière criminelle, même si celui-ci a été interjeté par le DPCP, pour faire des observations au sujet de la validité constitutionnelle d</w:t>
      </w:r>
      <w:r>
        <w:rPr>
          <w:rFonts w:cs="Arial"/>
          <w:szCs w:val="24"/>
        </w:rPr>
        <w:t>’</w:t>
      </w:r>
      <w:r w:rsidRPr="00377607">
        <w:rPr>
          <w:rFonts w:cs="Arial"/>
          <w:szCs w:val="24"/>
        </w:rPr>
        <w:t>une règle de droit. Il importe de préciser que le pouvoir</w:t>
      </w:r>
      <w:r>
        <w:rPr>
          <w:rFonts w:cs="Arial"/>
          <w:szCs w:val="24"/>
        </w:rPr>
        <w:t xml:space="preserve"> en matière de poursuites n’est partagé par le</w:t>
      </w:r>
      <w:r w:rsidRPr="00377607">
        <w:rPr>
          <w:rFonts w:cs="Arial"/>
          <w:szCs w:val="24"/>
        </w:rPr>
        <w:t xml:space="preserve"> PGQ et </w:t>
      </w:r>
      <w:r>
        <w:rPr>
          <w:rFonts w:cs="Arial"/>
          <w:szCs w:val="24"/>
        </w:rPr>
        <w:t>le</w:t>
      </w:r>
      <w:r w:rsidRPr="00377607">
        <w:rPr>
          <w:rFonts w:cs="Arial"/>
          <w:szCs w:val="24"/>
        </w:rPr>
        <w:t xml:space="preserve"> DPCP</w:t>
      </w:r>
      <w:r>
        <w:rPr>
          <w:rFonts w:cs="Arial"/>
          <w:szCs w:val="24"/>
        </w:rPr>
        <w:t xml:space="preserve"> que dans les limites des</w:t>
      </w:r>
      <w:r w:rsidRPr="00377607">
        <w:rPr>
          <w:rFonts w:cs="Arial"/>
          <w:szCs w:val="24"/>
        </w:rPr>
        <w:t xml:space="preserve"> fonctions du DPCP </w:t>
      </w:r>
      <w:r>
        <w:rPr>
          <w:rFonts w:cs="Arial"/>
          <w:szCs w:val="24"/>
        </w:rPr>
        <w:t xml:space="preserve">qui sont </w:t>
      </w:r>
      <w:r w:rsidRPr="00377607">
        <w:rPr>
          <w:rFonts w:cs="Arial"/>
          <w:szCs w:val="24"/>
        </w:rPr>
        <w:t xml:space="preserve">définies par la </w:t>
      </w:r>
      <w:r w:rsidRPr="00377607">
        <w:rPr>
          <w:rFonts w:cs="Arial"/>
          <w:i/>
          <w:iCs/>
          <w:szCs w:val="24"/>
        </w:rPr>
        <w:t>Loi sur le DPCP</w:t>
      </w:r>
      <w:r w:rsidRPr="00377607">
        <w:rPr>
          <w:rFonts w:cs="Arial"/>
          <w:szCs w:val="24"/>
        </w:rPr>
        <w:t>. Le PGQ, à titre de premier conseiller juridique, a en outre le devoir de représenter l</w:t>
      </w:r>
      <w:r>
        <w:rPr>
          <w:rFonts w:cs="Arial"/>
          <w:szCs w:val="24"/>
        </w:rPr>
        <w:t>’</w:t>
      </w:r>
      <w:r w:rsidRPr="00377607">
        <w:rPr>
          <w:rFonts w:cs="Arial"/>
          <w:szCs w:val="24"/>
        </w:rPr>
        <w:t xml:space="preserve">État devant les tribunaux. </w:t>
      </w:r>
    </w:p>
    <w:p w14:paraId="39146ED4" w14:textId="77777777" w:rsidR="005C67B6" w:rsidRPr="00377607" w:rsidRDefault="005C67B6" w:rsidP="005C67B6">
      <w:pPr>
        <w:pStyle w:val="Paragraphe"/>
        <w:numPr>
          <w:ilvl w:val="0"/>
          <w:numId w:val="0"/>
        </w:numPr>
        <w:spacing w:line="240" w:lineRule="auto"/>
        <w:rPr>
          <w:rFonts w:cs="Arial"/>
          <w:b/>
          <w:bCs/>
          <w:szCs w:val="24"/>
        </w:rPr>
      </w:pPr>
      <w:r w:rsidRPr="00377607">
        <w:rPr>
          <w:rFonts w:cs="Arial"/>
          <w:b/>
          <w:bCs/>
          <w:szCs w:val="24"/>
        </w:rPr>
        <w:t>Pratique</w:t>
      </w:r>
    </w:p>
    <w:p w14:paraId="5FEC7C20" w14:textId="77777777" w:rsidR="005C67B6" w:rsidRPr="00EB28CD" w:rsidRDefault="005C67B6" w:rsidP="005C67B6">
      <w:pPr>
        <w:pStyle w:val="Paragraphe"/>
        <w:spacing w:line="240" w:lineRule="auto"/>
        <w:rPr>
          <w:rFonts w:cs="Arial"/>
          <w:szCs w:val="24"/>
        </w:rPr>
      </w:pPr>
      <w:r>
        <w:rPr>
          <w:rFonts w:cs="Arial"/>
          <w:szCs w:val="24"/>
        </w:rPr>
        <w:t>Si l’on résume</w:t>
      </w:r>
      <w:r w:rsidRPr="00377607">
        <w:rPr>
          <w:rFonts w:cs="Arial"/>
          <w:szCs w:val="24"/>
        </w:rPr>
        <w:t xml:space="preserve">, </w:t>
      </w:r>
      <w:r>
        <w:rPr>
          <w:rFonts w:cs="Arial"/>
          <w:szCs w:val="24"/>
        </w:rPr>
        <w:t xml:space="preserve">le PGQ peut légalement faire </w:t>
      </w:r>
      <w:r w:rsidRPr="00377607">
        <w:rPr>
          <w:rFonts w:cs="Arial"/>
          <w:szCs w:val="24"/>
        </w:rPr>
        <w:t xml:space="preserve">tout ce que la </w:t>
      </w:r>
      <w:r w:rsidRPr="00377607">
        <w:rPr>
          <w:rFonts w:cs="Arial"/>
          <w:i/>
          <w:iCs/>
          <w:szCs w:val="24"/>
        </w:rPr>
        <w:t xml:space="preserve">Loi sur le DPCP </w:t>
      </w:r>
      <w:r w:rsidRPr="00377607">
        <w:rPr>
          <w:rFonts w:cs="Arial"/>
          <w:szCs w:val="24"/>
        </w:rPr>
        <w:t xml:space="preserve">autorise </w:t>
      </w:r>
      <w:r>
        <w:rPr>
          <w:rFonts w:cs="Arial"/>
          <w:szCs w:val="24"/>
        </w:rPr>
        <w:t>le DPCP</w:t>
      </w:r>
      <w:r w:rsidRPr="00377607">
        <w:rPr>
          <w:rFonts w:cs="Arial"/>
          <w:szCs w:val="24"/>
        </w:rPr>
        <w:t xml:space="preserve"> à faire. Il ne fait guère de doute que le PG</w:t>
      </w:r>
      <w:r>
        <w:rPr>
          <w:rFonts w:cs="Arial"/>
          <w:szCs w:val="24"/>
        </w:rPr>
        <w:t>Q</w:t>
      </w:r>
      <w:r w:rsidRPr="00377607">
        <w:rPr>
          <w:rFonts w:cs="Arial"/>
          <w:szCs w:val="24"/>
        </w:rPr>
        <w:t xml:space="preserve"> peut agir comme partie intervenante ou mise en cause </w:t>
      </w:r>
      <w:r w:rsidRPr="00E76EF2">
        <w:rPr>
          <w:rFonts w:cs="Arial"/>
          <w:szCs w:val="24"/>
        </w:rPr>
        <w:t>et s’il agit comme partie cela ne change pas grand-chose dans la pratique.</w:t>
      </w:r>
      <w:r w:rsidRPr="00377607">
        <w:rPr>
          <w:rFonts w:cs="Arial"/>
          <w:szCs w:val="24"/>
        </w:rPr>
        <w:t xml:space="preserve"> Il ne fait aucun doute non plus que </w:t>
      </w:r>
      <w:r>
        <w:rPr>
          <w:rFonts w:cs="Arial"/>
          <w:szCs w:val="24"/>
        </w:rPr>
        <w:t>nul ne s’opposerait à ce que</w:t>
      </w:r>
      <w:r w:rsidRPr="00377607">
        <w:rPr>
          <w:rFonts w:cs="Arial"/>
          <w:szCs w:val="24"/>
        </w:rPr>
        <w:t xml:space="preserve"> deux avocats</w:t>
      </w:r>
      <w:r>
        <w:rPr>
          <w:rFonts w:cs="Arial"/>
          <w:szCs w:val="24"/>
        </w:rPr>
        <w:t xml:space="preserve">, </w:t>
      </w:r>
      <w:r w:rsidRPr="00377607">
        <w:rPr>
          <w:rFonts w:cs="Arial"/>
          <w:szCs w:val="24"/>
        </w:rPr>
        <w:t>l</w:t>
      </w:r>
      <w:r>
        <w:rPr>
          <w:rFonts w:cs="Arial"/>
          <w:szCs w:val="24"/>
        </w:rPr>
        <w:t>’</w:t>
      </w:r>
      <w:r w:rsidRPr="00377607">
        <w:rPr>
          <w:rFonts w:cs="Arial"/>
          <w:szCs w:val="24"/>
        </w:rPr>
        <w:t xml:space="preserve">un </w:t>
      </w:r>
      <w:r>
        <w:rPr>
          <w:rFonts w:cs="Arial"/>
          <w:szCs w:val="24"/>
        </w:rPr>
        <w:t>représentant</w:t>
      </w:r>
      <w:r w:rsidRPr="00377607">
        <w:rPr>
          <w:rFonts w:cs="Arial"/>
          <w:szCs w:val="24"/>
        </w:rPr>
        <w:t xml:space="preserve"> le DPCP et l</w:t>
      </w:r>
      <w:r>
        <w:rPr>
          <w:rFonts w:cs="Arial"/>
          <w:szCs w:val="24"/>
        </w:rPr>
        <w:t>’</w:t>
      </w:r>
      <w:r w:rsidRPr="00377607">
        <w:rPr>
          <w:rFonts w:cs="Arial"/>
          <w:szCs w:val="24"/>
        </w:rPr>
        <w:t>autre le PGQ, plaident dans un appel interjeté par le DPCP et divisent leurs arguments, à moins qu</w:t>
      </w:r>
      <w:r>
        <w:rPr>
          <w:rFonts w:cs="Arial"/>
          <w:szCs w:val="24"/>
        </w:rPr>
        <w:t>’</w:t>
      </w:r>
      <w:r w:rsidRPr="00377607">
        <w:rPr>
          <w:rFonts w:cs="Arial"/>
          <w:szCs w:val="24"/>
        </w:rPr>
        <w:t>ils ne se répètent. La qualité pour agir que possèdent en commun le DPCP et le PGQ ne suppose aucunement que la partie adverse doi</w:t>
      </w:r>
      <w:r>
        <w:rPr>
          <w:rFonts w:cs="Arial"/>
          <w:szCs w:val="24"/>
        </w:rPr>
        <w:t>ve</w:t>
      </w:r>
      <w:r w:rsidRPr="00377607">
        <w:rPr>
          <w:rFonts w:cs="Arial"/>
          <w:szCs w:val="24"/>
        </w:rPr>
        <w:t xml:space="preserve"> </w:t>
      </w:r>
      <w:r>
        <w:rPr>
          <w:rFonts w:cs="Arial"/>
          <w:szCs w:val="24"/>
        </w:rPr>
        <w:t xml:space="preserve">répondre à </w:t>
      </w:r>
      <w:r w:rsidRPr="00377607">
        <w:rPr>
          <w:rFonts w:cs="Arial"/>
          <w:szCs w:val="24"/>
        </w:rPr>
        <w:t xml:space="preserve">deux poursuites ou </w:t>
      </w:r>
      <w:r>
        <w:rPr>
          <w:rFonts w:cs="Arial"/>
          <w:szCs w:val="24"/>
        </w:rPr>
        <w:t xml:space="preserve">affronter </w:t>
      </w:r>
      <w:r w:rsidRPr="00377607">
        <w:rPr>
          <w:rFonts w:cs="Arial"/>
          <w:szCs w:val="24"/>
        </w:rPr>
        <w:t>deux poursuivants. Cela signifie qu</w:t>
      </w:r>
      <w:r>
        <w:rPr>
          <w:rFonts w:cs="Arial"/>
          <w:szCs w:val="24"/>
        </w:rPr>
        <w:t>’</w:t>
      </w:r>
      <w:r w:rsidRPr="00377607">
        <w:rPr>
          <w:rFonts w:cs="Arial"/>
          <w:szCs w:val="24"/>
        </w:rPr>
        <w:t xml:space="preserve">elle doit </w:t>
      </w:r>
      <w:r>
        <w:rPr>
          <w:rFonts w:cs="Arial"/>
          <w:szCs w:val="24"/>
        </w:rPr>
        <w:t>répondre à</w:t>
      </w:r>
      <w:r w:rsidRPr="00377607">
        <w:rPr>
          <w:rFonts w:cs="Arial"/>
          <w:szCs w:val="24"/>
        </w:rPr>
        <w:t xml:space="preserve"> une seule poursuite comportant différents volets. Comme c</w:t>
      </w:r>
      <w:r>
        <w:rPr>
          <w:rFonts w:cs="Arial"/>
          <w:szCs w:val="24"/>
        </w:rPr>
        <w:t>’</w:t>
      </w:r>
      <w:r w:rsidRPr="00377607">
        <w:rPr>
          <w:rFonts w:cs="Arial"/>
          <w:szCs w:val="24"/>
        </w:rPr>
        <w:t>est le cas en l</w:t>
      </w:r>
      <w:r>
        <w:rPr>
          <w:rFonts w:cs="Arial"/>
          <w:szCs w:val="24"/>
        </w:rPr>
        <w:t>’</w:t>
      </w:r>
      <w:r w:rsidRPr="00377607">
        <w:rPr>
          <w:rFonts w:cs="Arial"/>
          <w:szCs w:val="24"/>
        </w:rPr>
        <w:t>espèce, le DPCP s</w:t>
      </w:r>
      <w:r>
        <w:rPr>
          <w:rFonts w:cs="Arial"/>
          <w:szCs w:val="24"/>
        </w:rPr>
        <w:t>’</w:t>
      </w:r>
      <w:r w:rsidRPr="00377607">
        <w:rPr>
          <w:rFonts w:cs="Arial"/>
          <w:szCs w:val="24"/>
        </w:rPr>
        <w:t>intéresse à des questions précises qui sont en litige entre les parties dans une poursuite donnée</w:t>
      </w:r>
      <w:r>
        <w:rPr>
          <w:rFonts w:cs="Arial"/>
          <w:szCs w:val="24"/>
        </w:rPr>
        <w:t>,</w:t>
      </w:r>
      <w:r w:rsidRPr="00377607">
        <w:rPr>
          <w:rFonts w:cs="Arial"/>
          <w:szCs w:val="24"/>
        </w:rPr>
        <w:t xml:space="preserve"> </w:t>
      </w:r>
      <w:r>
        <w:rPr>
          <w:rFonts w:cs="Arial"/>
          <w:szCs w:val="24"/>
        </w:rPr>
        <w:t xml:space="preserve">engagée </w:t>
      </w:r>
      <w:r w:rsidRPr="00377607">
        <w:rPr>
          <w:rFonts w:cs="Arial"/>
          <w:szCs w:val="24"/>
        </w:rPr>
        <w:t>aux termes de lois valides</w:t>
      </w:r>
      <w:r>
        <w:rPr>
          <w:rFonts w:cs="Arial"/>
          <w:szCs w:val="24"/>
        </w:rPr>
        <w:t>,</w:t>
      </w:r>
      <w:r w:rsidRPr="00377607">
        <w:rPr>
          <w:rFonts w:cs="Arial"/>
          <w:szCs w:val="24"/>
        </w:rPr>
        <w:t xml:space="preserve"> tandis que le PGQ s</w:t>
      </w:r>
      <w:r>
        <w:rPr>
          <w:rFonts w:cs="Arial"/>
          <w:szCs w:val="24"/>
        </w:rPr>
        <w:t>’</w:t>
      </w:r>
      <w:r w:rsidRPr="00377607">
        <w:rPr>
          <w:rFonts w:cs="Arial"/>
          <w:szCs w:val="24"/>
        </w:rPr>
        <w:t xml:space="preserve">intéresse </w:t>
      </w:r>
      <w:r>
        <w:rPr>
          <w:rFonts w:cs="Arial"/>
          <w:szCs w:val="24"/>
        </w:rPr>
        <w:t>à des</w:t>
      </w:r>
      <w:r w:rsidRPr="00377607">
        <w:rPr>
          <w:rFonts w:cs="Arial"/>
          <w:szCs w:val="24"/>
        </w:rPr>
        <w:t xml:space="preserve"> questions d</w:t>
      </w:r>
      <w:r>
        <w:rPr>
          <w:rFonts w:cs="Arial"/>
          <w:szCs w:val="24"/>
        </w:rPr>
        <w:t>’</w:t>
      </w:r>
      <w:r w:rsidRPr="00377607">
        <w:rPr>
          <w:rFonts w:cs="Arial"/>
          <w:szCs w:val="24"/>
        </w:rPr>
        <w:t xml:space="preserve">ordre constitutionnel touchant la validité de </w:t>
      </w:r>
      <w:r>
        <w:rPr>
          <w:rFonts w:cs="Arial"/>
          <w:szCs w:val="24"/>
        </w:rPr>
        <w:t>règles de droit</w:t>
      </w:r>
      <w:r w:rsidRPr="00377607">
        <w:rPr>
          <w:rFonts w:cs="Arial"/>
          <w:szCs w:val="24"/>
        </w:rPr>
        <w:t xml:space="preserve"> et des questions plus larges de politiques législatives. </w:t>
      </w:r>
    </w:p>
    <w:p w14:paraId="0E62D1E9" w14:textId="77777777" w:rsidR="005C67B6" w:rsidRPr="00EB28CD" w:rsidRDefault="005C67B6" w:rsidP="005C67B6">
      <w:pPr>
        <w:pStyle w:val="Paragraphe"/>
        <w:spacing w:line="240" w:lineRule="auto"/>
        <w:rPr>
          <w:rFonts w:cs="Arial"/>
          <w:szCs w:val="24"/>
        </w:rPr>
      </w:pPr>
      <w:r w:rsidRPr="00377607">
        <w:rPr>
          <w:rFonts w:cs="Arial"/>
          <w:szCs w:val="24"/>
        </w:rPr>
        <w:t xml:space="preserve">Certains </w:t>
      </w:r>
      <w:r>
        <w:rPr>
          <w:rFonts w:cs="Arial"/>
          <w:szCs w:val="24"/>
        </w:rPr>
        <w:t>aspects pratiques</w:t>
      </w:r>
      <w:r w:rsidRPr="00E76EF2">
        <w:rPr>
          <w:rFonts w:cs="Arial"/>
          <w:szCs w:val="24"/>
        </w:rPr>
        <w:t xml:space="preserve"> doivent être pris en compte</w:t>
      </w:r>
      <w:r w:rsidRPr="00377607">
        <w:rPr>
          <w:rFonts w:cs="Arial"/>
          <w:szCs w:val="24"/>
        </w:rPr>
        <w:t xml:space="preserve"> lorsque le DPCP et le PGQ participent conjointement à une poursuite criminelle, notamment en ce qui concerne la longueur et la forme de</w:t>
      </w:r>
      <w:r>
        <w:rPr>
          <w:rFonts w:cs="Arial"/>
          <w:szCs w:val="24"/>
        </w:rPr>
        <w:t xml:space="preserve"> leur</w:t>
      </w:r>
      <w:r w:rsidRPr="00377607">
        <w:rPr>
          <w:rFonts w:cs="Arial"/>
          <w:szCs w:val="24"/>
        </w:rPr>
        <w:t xml:space="preserve">s observations écrites, la répartition des questions en litige </w:t>
      </w:r>
      <w:r>
        <w:rPr>
          <w:rFonts w:cs="Arial"/>
          <w:szCs w:val="24"/>
        </w:rPr>
        <w:t>entre eux</w:t>
      </w:r>
      <w:r w:rsidRPr="00377607">
        <w:rPr>
          <w:rFonts w:cs="Arial"/>
          <w:szCs w:val="24"/>
        </w:rPr>
        <w:t>, le dédoublement de</w:t>
      </w:r>
      <w:r>
        <w:rPr>
          <w:rFonts w:cs="Arial"/>
          <w:szCs w:val="24"/>
        </w:rPr>
        <w:t xml:space="preserve"> leur</w:t>
      </w:r>
      <w:r w:rsidRPr="00377607">
        <w:rPr>
          <w:rFonts w:cs="Arial"/>
          <w:szCs w:val="24"/>
        </w:rPr>
        <w:t xml:space="preserve">s arguments, ainsi que la répartition du temps alloué aux plaidoiries de chacun. </w:t>
      </w:r>
    </w:p>
    <w:p w14:paraId="001B9BE9" w14:textId="77777777" w:rsidR="005C67B6" w:rsidRPr="00EB28CD" w:rsidRDefault="005C67B6" w:rsidP="005C67B6">
      <w:pPr>
        <w:pStyle w:val="Paragraphe"/>
        <w:spacing w:line="240" w:lineRule="auto"/>
        <w:rPr>
          <w:rFonts w:cs="Arial"/>
          <w:szCs w:val="24"/>
        </w:rPr>
      </w:pPr>
      <w:r>
        <w:rPr>
          <w:rFonts w:cs="Arial"/>
          <w:szCs w:val="24"/>
        </w:rPr>
        <w:t>U</w:t>
      </w:r>
      <w:r w:rsidRPr="00377607">
        <w:rPr>
          <w:rFonts w:cs="Arial"/>
          <w:szCs w:val="24"/>
        </w:rPr>
        <w:t>ne question d</w:t>
      </w:r>
      <w:r>
        <w:rPr>
          <w:rFonts w:cs="Arial"/>
          <w:szCs w:val="24"/>
        </w:rPr>
        <w:t>’</w:t>
      </w:r>
      <w:r w:rsidRPr="00377607">
        <w:rPr>
          <w:rFonts w:cs="Arial"/>
          <w:szCs w:val="24"/>
        </w:rPr>
        <w:t>ordre constitutionnel portant sur l</w:t>
      </w:r>
      <w:r>
        <w:rPr>
          <w:rFonts w:cs="Arial"/>
          <w:szCs w:val="24"/>
        </w:rPr>
        <w:t>’</w:t>
      </w:r>
      <w:r w:rsidRPr="00377607">
        <w:rPr>
          <w:rFonts w:cs="Arial"/>
          <w:szCs w:val="24"/>
        </w:rPr>
        <w:t>application de la</w:t>
      </w:r>
      <w:r w:rsidRPr="00377607">
        <w:rPr>
          <w:rFonts w:cs="Arial"/>
          <w:i/>
          <w:iCs/>
          <w:szCs w:val="24"/>
        </w:rPr>
        <w:t xml:space="preserve"> Charte</w:t>
      </w:r>
      <w:r w:rsidRPr="00377607">
        <w:rPr>
          <w:rFonts w:cs="Arial"/>
          <w:szCs w:val="24"/>
        </w:rPr>
        <w:t xml:space="preserve"> </w:t>
      </w:r>
      <w:r>
        <w:rPr>
          <w:rFonts w:cs="Arial"/>
          <w:szCs w:val="24"/>
        </w:rPr>
        <w:t xml:space="preserve">dans un tel cas </w:t>
      </w:r>
      <w:r w:rsidRPr="00377607">
        <w:rPr>
          <w:rFonts w:cs="Arial"/>
          <w:szCs w:val="24"/>
        </w:rPr>
        <w:t>est tout à fait indépendante d</w:t>
      </w:r>
      <w:r>
        <w:rPr>
          <w:rFonts w:cs="Arial"/>
          <w:szCs w:val="24"/>
        </w:rPr>
        <w:t>’</w:t>
      </w:r>
      <w:r w:rsidRPr="00377607">
        <w:rPr>
          <w:rFonts w:cs="Arial"/>
          <w:szCs w:val="24"/>
        </w:rPr>
        <w:t>une question soulevant la validité constitutionnelle d</w:t>
      </w:r>
      <w:r>
        <w:rPr>
          <w:rFonts w:cs="Arial"/>
          <w:szCs w:val="24"/>
        </w:rPr>
        <w:t>’</w:t>
      </w:r>
      <w:r w:rsidRPr="00377607">
        <w:rPr>
          <w:rFonts w:cs="Arial"/>
          <w:szCs w:val="24"/>
        </w:rPr>
        <w:t xml:space="preserve">une règle de droit. </w:t>
      </w:r>
      <w:r>
        <w:rPr>
          <w:rFonts w:cs="Arial"/>
          <w:szCs w:val="24"/>
        </w:rPr>
        <w:t>Lorsque</w:t>
      </w:r>
      <w:r w:rsidRPr="00377607">
        <w:rPr>
          <w:rFonts w:cs="Arial"/>
          <w:szCs w:val="24"/>
        </w:rPr>
        <w:t xml:space="preserve"> les deux types de questions sont en jeu, il est tout à fait possible </w:t>
      </w:r>
      <w:r w:rsidRPr="00E76EF2">
        <w:rPr>
          <w:rFonts w:cs="Arial"/>
          <w:szCs w:val="24"/>
        </w:rPr>
        <w:t>qu’il n’y ait pas d’appel sur la première mais seulement sur la deuxième</w:t>
      </w:r>
      <w:r w:rsidRPr="00377607">
        <w:rPr>
          <w:rFonts w:cs="Arial"/>
          <w:szCs w:val="24"/>
        </w:rPr>
        <w:t>. Si tel est le cas, le DPCP pourrait renoncer à interjeter appel</w:t>
      </w:r>
      <w:r>
        <w:rPr>
          <w:rFonts w:cs="Arial"/>
          <w:szCs w:val="24"/>
        </w:rPr>
        <w:t>,</w:t>
      </w:r>
      <w:r w:rsidRPr="00377607">
        <w:rPr>
          <w:rFonts w:cs="Arial"/>
          <w:szCs w:val="24"/>
        </w:rPr>
        <w:t xml:space="preserve"> tandis que le PGQ </w:t>
      </w:r>
      <w:r>
        <w:rPr>
          <w:rFonts w:cs="Arial"/>
          <w:szCs w:val="24"/>
        </w:rPr>
        <w:t>pourrait demander l’autorisation de le faire</w:t>
      </w:r>
      <w:r w:rsidRPr="00377607">
        <w:rPr>
          <w:rFonts w:cs="Arial"/>
          <w:szCs w:val="24"/>
        </w:rPr>
        <w:t xml:space="preserve">. </w:t>
      </w:r>
      <w:r>
        <w:rPr>
          <w:rFonts w:cs="Arial"/>
          <w:szCs w:val="24"/>
        </w:rPr>
        <w:t>Il est également possible que</w:t>
      </w:r>
      <w:r w:rsidRPr="00377607">
        <w:rPr>
          <w:rFonts w:cs="Arial"/>
          <w:szCs w:val="24"/>
        </w:rPr>
        <w:t xml:space="preserve"> les</w:t>
      </w:r>
      <w:r>
        <w:rPr>
          <w:rFonts w:cs="Arial"/>
          <w:szCs w:val="24"/>
        </w:rPr>
        <w:t xml:space="preserve"> deux</w:t>
      </w:r>
      <w:r w:rsidRPr="00377607">
        <w:rPr>
          <w:rFonts w:cs="Arial"/>
          <w:szCs w:val="24"/>
        </w:rPr>
        <w:t xml:space="preserve"> interjet</w:t>
      </w:r>
      <w:r>
        <w:rPr>
          <w:rFonts w:cs="Arial"/>
          <w:szCs w:val="24"/>
        </w:rPr>
        <w:t>tent</w:t>
      </w:r>
      <w:r w:rsidRPr="00377607">
        <w:rPr>
          <w:rFonts w:cs="Arial"/>
          <w:szCs w:val="24"/>
        </w:rPr>
        <w:t xml:space="preserve"> appel pour différentes raisons et en soulevant différents moyens. Cela va de soi et est établi depuis longtemps dans les affaires soulevant une question constitutionnelle </w:t>
      </w:r>
      <w:r>
        <w:rPr>
          <w:rFonts w:cs="Arial"/>
          <w:szCs w:val="24"/>
        </w:rPr>
        <w:t>touchant à</w:t>
      </w:r>
      <w:r w:rsidRPr="00377607">
        <w:rPr>
          <w:rFonts w:cs="Arial"/>
          <w:szCs w:val="24"/>
        </w:rPr>
        <w:t xml:space="preserve"> la séparation des pouvoirs entre le Parlement et les assemblées législatives provinciales. Que la question porte sur la validité constitutionnelle au regard de la </w:t>
      </w:r>
      <w:r w:rsidRPr="00377607">
        <w:rPr>
          <w:rFonts w:cs="Arial"/>
          <w:i/>
          <w:iCs/>
          <w:szCs w:val="24"/>
        </w:rPr>
        <w:t>Charte</w:t>
      </w:r>
      <w:r w:rsidRPr="00377607">
        <w:rPr>
          <w:rFonts w:cs="Arial"/>
          <w:szCs w:val="24"/>
        </w:rPr>
        <w:t xml:space="preserve"> ou la séparation des pouvoirs, la participation du PGQ ne consiste en rien de plus que l</w:t>
      </w:r>
      <w:r>
        <w:rPr>
          <w:rFonts w:cs="Arial"/>
          <w:szCs w:val="24"/>
        </w:rPr>
        <w:t>’</w:t>
      </w:r>
      <w:r w:rsidRPr="00377607">
        <w:rPr>
          <w:rFonts w:cs="Arial"/>
          <w:szCs w:val="24"/>
        </w:rPr>
        <w:t>exercice de son pouvoir de représenter l</w:t>
      </w:r>
      <w:r>
        <w:rPr>
          <w:rFonts w:cs="Arial"/>
          <w:szCs w:val="24"/>
        </w:rPr>
        <w:t>’</w:t>
      </w:r>
      <w:r w:rsidRPr="00377607">
        <w:rPr>
          <w:rFonts w:cs="Arial"/>
          <w:szCs w:val="24"/>
        </w:rPr>
        <w:t>État dans des affaires d</w:t>
      </w:r>
      <w:r>
        <w:rPr>
          <w:rFonts w:cs="Arial"/>
          <w:szCs w:val="24"/>
        </w:rPr>
        <w:t>’</w:t>
      </w:r>
      <w:r w:rsidRPr="00377607">
        <w:rPr>
          <w:rFonts w:cs="Arial"/>
          <w:szCs w:val="24"/>
        </w:rPr>
        <w:t>intérêt public général</w:t>
      </w:r>
      <w:r>
        <w:rPr>
          <w:rFonts w:cs="Arial"/>
          <w:szCs w:val="24"/>
        </w:rPr>
        <w:t>; p</w:t>
      </w:r>
      <w:r w:rsidRPr="00377607">
        <w:rPr>
          <w:rFonts w:cs="Arial"/>
          <w:szCs w:val="24"/>
        </w:rPr>
        <w:t>eu importe que cette participation ait lieu dans le cadre d</w:t>
      </w:r>
      <w:r>
        <w:rPr>
          <w:rFonts w:cs="Arial"/>
          <w:szCs w:val="24"/>
        </w:rPr>
        <w:t>’</w:t>
      </w:r>
      <w:r w:rsidRPr="00377607">
        <w:rPr>
          <w:rFonts w:cs="Arial"/>
          <w:szCs w:val="24"/>
        </w:rPr>
        <w:t>une instance criminelle ou d</w:t>
      </w:r>
      <w:r>
        <w:rPr>
          <w:rFonts w:cs="Arial"/>
          <w:szCs w:val="24"/>
        </w:rPr>
        <w:t>’un</w:t>
      </w:r>
      <w:r w:rsidRPr="00377607">
        <w:rPr>
          <w:rFonts w:cs="Arial"/>
          <w:szCs w:val="24"/>
        </w:rPr>
        <w:t xml:space="preserve"> autre type d</w:t>
      </w:r>
      <w:r>
        <w:rPr>
          <w:rFonts w:cs="Arial"/>
          <w:szCs w:val="24"/>
        </w:rPr>
        <w:t>’</w:t>
      </w:r>
      <w:r w:rsidRPr="00377607">
        <w:rPr>
          <w:rFonts w:cs="Arial"/>
          <w:szCs w:val="24"/>
        </w:rPr>
        <w:t xml:space="preserve">instance. </w:t>
      </w:r>
    </w:p>
    <w:p w14:paraId="3E38D8F7" w14:textId="77777777" w:rsidR="005C67B6" w:rsidRPr="00EB28CD" w:rsidRDefault="005C67B6" w:rsidP="005C67B6">
      <w:pPr>
        <w:pStyle w:val="Paragraphe"/>
        <w:spacing w:line="240" w:lineRule="auto"/>
        <w:rPr>
          <w:rFonts w:cs="Arial"/>
          <w:szCs w:val="24"/>
        </w:rPr>
      </w:pPr>
      <w:r w:rsidRPr="00377607">
        <w:rPr>
          <w:rFonts w:cs="Arial"/>
          <w:szCs w:val="24"/>
        </w:rPr>
        <w:t>Ce n</w:t>
      </w:r>
      <w:r>
        <w:rPr>
          <w:rFonts w:cs="Arial"/>
          <w:szCs w:val="24"/>
        </w:rPr>
        <w:t>’</w:t>
      </w:r>
      <w:r w:rsidRPr="00377607">
        <w:rPr>
          <w:rFonts w:cs="Arial"/>
          <w:szCs w:val="24"/>
        </w:rPr>
        <w:t>est pas rare non plus, typiquement à la Cour suprême, de voir le procureur général intervenir dans un appel en matière criminelle sans que le DPCP soit partie appelante. Cela se produit lorsqu</w:t>
      </w:r>
      <w:r>
        <w:rPr>
          <w:rFonts w:cs="Arial"/>
          <w:szCs w:val="24"/>
        </w:rPr>
        <w:t>’</w:t>
      </w:r>
      <w:r w:rsidRPr="00377607">
        <w:rPr>
          <w:rFonts w:cs="Arial"/>
          <w:szCs w:val="24"/>
        </w:rPr>
        <w:t>un appel porte sur la résolution d</w:t>
      </w:r>
      <w:r>
        <w:rPr>
          <w:rFonts w:cs="Arial"/>
          <w:szCs w:val="24"/>
        </w:rPr>
        <w:t>’</w:t>
      </w:r>
      <w:r w:rsidRPr="00377607">
        <w:rPr>
          <w:rFonts w:cs="Arial"/>
          <w:szCs w:val="24"/>
        </w:rPr>
        <w:t>une question constitutionnelle d</w:t>
      </w:r>
      <w:r>
        <w:rPr>
          <w:rFonts w:cs="Arial"/>
          <w:szCs w:val="24"/>
        </w:rPr>
        <w:t>’</w:t>
      </w:r>
      <w:r w:rsidRPr="00377607">
        <w:rPr>
          <w:rFonts w:cs="Arial"/>
          <w:szCs w:val="24"/>
        </w:rPr>
        <w:t>intérêt général plutôt que sur le bien-fondé d</w:t>
      </w:r>
      <w:r>
        <w:rPr>
          <w:rFonts w:cs="Arial"/>
          <w:szCs w:val="24"/>
        </w:rPr>
        <w:t>’</w:t>
      </w:r>
      <w:r w:rsidRPr="00377607">
        <w:rPr>
          <w:rFonts w:cs="Arial"/>
          <w:szCs w:val="24"/>
        </w:rPr>
        <w:t>un verdict ou d</w:t>
      </w:r>
      <w:r>
        <w:rPr>
          <w:rFonts w:cs="Arial"/>
          <w:szCs w:val="24"/>
        </w:rPr>
        <w:t>’</w:t>
      </w:r>
      <w:r w:rsidRPr="00377607">
        <w:rPr>
          <w:rFonts w:cs="Arial"/>
          <w:szCs w:val="24"/>
        </w:rPr>
        <w:t>une peine. Dans un tel cas, l</w:t>
      </w:r>
      <w:r>
        <w:rPr>
          <w:rFonts w:cs="Arial"/>
          <w:szCs w:val="24"/>
        </w:rPr>
        <w:t>’</w:t>
      </w:r>
      <w:r w:rsidRPr="00377607">
        <w:rPr>
          <w:rFonts w:cs="Arial"/>
          <w:szCs w:val="24"/>
        </w:rPr>
        <w:t>intérêt et la qualité du PGQ demeurent, mais l</w:t>
      </w:r>
      <w:r>
        <w:rPr>
          <w:rFonts w:cs="Arial"/>
          <w:szCs w:val="24"/>
        </w:rPr>
        <w:t>’</w:t>
      </w:r>
      <w:r w:rsidRPr="00377607">
        <w:rPr>
          <w:rFonts w:cs="Arial"/>
          <w:szCs w:val="24"/>
        </w:rPr>
        <w:t>intérêt du DPCP disparaît. Signalons que, dans l</w:t>
      </w:r>
      <w:r>
        <w:rPr>
          <w:rFonts w:cs="Arial"/>
          <w:szCs w:val="24"/>
        </w:rPr>
        <w:t>’</w:t>
      </w:r>
      <w:r w:rsidRPr="00377607">
        <w:rPr>
          <w:rFonts w:cs="Arial"/>
          <w:szCs w:val="24"/>
        </w:rPr>
        <w:t xml:space="preserve">affaire </w:t>
      </w:r>
      <w:r w:rsidRPr="00377607">
        <w:rPr>
          <w:rFonts w:cs="Arial"/>
          <w:i/>
          <w:iCs/>
          <w:szCs w:val="24"/>
        </w:rPr>
        <w:t>Senneville</w:t>
      </w:r>
      <w:r>
        <w:rPr>
          <w:rStyle w:val="Appelnotedebasdep"/>
          <w:rFonts w:cs="Arial"/>
          <w:szCs w:val="24"/>
        </w:rPr>
        <w:footnoteReference w:id="33"/>
      </w:r>
      <w:r w:rsidRPr="00377607">
        <w:rPr>
          <w:rFonts w:cs="Arial"/>
          <w:szCs w:val="24"/>
        </w:rPr>
        <w:t>, qui portait aussi sur la validité constitutionnelle d</w:t>
      </w:r>
      <w:r>
        <w:rPr>
          <w:rFonts w:cs="Arial"/>
          <w:szCs w:val="24"/>
        </w:rPr>
        <w:t>’</w:t>
      </w:r>
      <w:r w:rsidRPr="00377607">
        <w:rPr>
          <w:rFonts w:cs="Arial"/>
          <w:szCs w:val="24"/>
        </w:rPr>
        <w:t xml:space="preserve">une peine minimale obligatoire, le PGQ a participé en première instance en qualité de mis en cause et devant notre Cour en </w:t>
      </w:r>
      <w:r>
        <w:rPr>
          <w:rFonts w:cs="Arial"/>
          <w:szCs w:val="24"/>
        </w:rPr>
        <w:t>tant qu’</w:t>
      </w:r>
      <w:r w:rsidRPr="00377607">
        <w:rPr>
          <w:rFonts w:cs="Arial"/>
          <w:szCs w:val="24"/>
        </w:rPr>
        <w:t xml:space="preserve">appelant. </w:t>
      </w:r>
      <w:r>
        <w:rPr>
          <w:rFonts w:cs="Arial"/>
          <w:szCs w:val="24"/>
        </w:rPr>
        <w:t xml:space="preserve">Le </w:t>
      </w:r>
      <w:r w:rsidRPr="00377607">
        <w:rPr>
          <w:rFonts w:cs="Arial"/>
          <w:szCs w:val="24"/>
        </w:rPr>
        <w:t>DPCP n</w:t>
      </w:r>
      <w:r>
        <w:rPr>
          <w:rFonts w:cs="Arial"/>
          <w:szCs w:val="24"/>
        </w:rPr>
        <w:t>’</w:t>
      </w:r>
      <w:r w:rsidRPr="00377607">
        <w:rPr>
          <w:rFonts w:cs="Arial"/>
          <w:szCs w:val="24"/>
        </w:rPr>
        <w:t>a pas porté en appel l</w:t>
      </w:r>
      <w:r>
        <w:rPr>
          <w:rFonts w:cs="Arial"/>
          <w:szCs w:val="24"/>
        </w:rPr>
        <w:t>’</w:t>
      </w:r>
      <w:r w:rsidRPr="00377607">
        <w:rPr>
          <w:rFonts w:cs="Arial"/>
          <w:szCs w:val="24"/>
        </w:rPr>
        <w:t>arrêt de la Cour, mais le PGQ avait l</w:t>
      </w:r>
      <w:r>
        <w:rPr>
          <w:rFonts w:cs="Arial"/>
          <w:szCs w:val="24"/>
        </w:rPr>
        <w:t>e titre</w:t>
      </w:r>
      <w:r w:rsidRPr="00377607">
        <w:rPr>
          <w:rFonts w:cs="Arial"/>
          <w:szCs w:val="24"/>
        </w:rPr>
        <w:t xml:space="preserve"> d</w:t>
      </w:r>
      <w:r>
        <w:rPr>
          <w:rFonts w:cs="Arial"/>
          <w:szCs w:val="24"/>
        </w:rPr>
        <w:t>’</w:t>
      </w:r>
      <w:r w:rsidRPr="00377607">
        <w:rPr>
          <w:rFonts w:cs="Arial"/>
          <w:szCs w:val="24"/>
        </w:rPr>
        <w:t>appelant en Cour suprême.</w:t>
      </w:r>
    </w:p>
    <w:p w14:paraId="25E852BA" w14:textId="77777777" w:rsidR="005C67B6" w:rsidRPr="00EB28CD" w:rsidRDefault="005C67B6" w:rsidP="005C67B6">
      <w:pPr>
        <w:pStyle w:val="Paragraphe"/>
        <w:spacing w:line="240" w:lineRule="auto"/>
        <w:rPr>
          <w:rFonts w:cs="Arial"/>
          <w:szCs w:val="24"/>
        </w:rPr>
      </w:pPr>
      <w:r w:rsidRPr="00377607">
        <w:rPr>
          <w:rFonts w:cs="Arial"/>
          <w:szCs w:val="24"/>
        </w:rPr>
        <w:t>L</w:t>
      </w:r>
      <w:r>
        <w:rPr>
          <w:rFonts w:cs="Arial"/>
          <w:szCs w:val="24"/>
        </w:rPr>
        <w:t>e lien</w:t>
      </w:r>
      <w:r w:rsidRPr="00377607">
        <w:rPr>
          <w:rFonts w:cs="Arial"/>
          <w:szCs w:val="24"/>
        </w:rPr>
        <w:t xml:space="preserve"> entre les questions soulevées par le DPCP et celles soulevées par le PGQ est </w:t>
      </w:r>
      <w:r>
        <w:rPr>
          <w:rFonts w:cs="Arial"/>
          <w:szCs w:val="24"/>
        </w:rPr>
        <w:t>évident</w:t>
      </w:r>
      <w:r w:rsidRPr="00377607">
        <w:rPr>
          <w:rFonts w:cs="Arial"/>
          <w:szCs w:val="24"/>
        </w:rPr>
        <w:t>. Le DPCP peut soulever la question : « Les peines minimales obligatoires (ou l</w:t>
      </w:r>
      <w:r>
        <w:rPr>
          <w:rFonts w:cs="Arial"/>
          <w:szCs w:val="24"/>
        </w:rPr>
        <w:t>’</w:t>
      </w:r>
      <w:r w:rsidRPr="00377607">
        <w:rPr>
          <w:rFonts w:cs="Arial"/>
          <w:szCs w:val="24"/>
        </w:rPr>
        <w:t>une d</w:t>
      </w:r>
      <w:r>
        <w:rPr>
          <w:rFonts w:cs="Arial"/>
          <w:szCs w:val="24"/>
        </w:rPr>
        <w:t>’</w:t>
      </w:r>
      <w:r w:rsidRPr="00377607">
        <w:rPr>
          <w:rFonts w:cs="Arial"/>
          <w:szCs w:val="24"/>
        </w:rPr>
        <w:t>elles) en l</w:t>
      </w:r>
      <w:r>
        <w:rPr>
          <w:rFonts w:cs="Arial"/>
          <w:szCs w:val="24"/>
        </w:rPr>
        <w:t>’</w:t>
      </w:r>
      <w:r w:rsidRPr="00377607">
        <w:rPr>
          <w:rFonts w:cs="Arial"/>
          <w:szCs w:val="24"/>
        </w:rPr>
        <w:t>espèce sont-elles injustes parce qu</w:t>
      </w:r>
      <w:r>
        <w:rPr>
          <w:rFonts w:cs="Arial"/>
          <w:szCs w:val="24"/>
        </w:rPr>
        <w:t>’</w:t>
      </w:r>
      <w:r w:rsidRPr="00377607">
        <w:rPr>
          <w:rFonts w:cs="Arial"/>
          <w:szCs w:val="24"/>
        </w:rPr>
        <w:t>elles constituent des peines cruelles et inusitées? ». La réponse pourrait être « Oui, et elles sont donc</w:t>
      </w:r>
      <w:r>
        <w:rPr>
          <w:rFonts w:cs="Arial"/>
          <w:szCs w:val="24"/>
        </w:rPr>
        <w:t xml:space="preserve"> également</w:t>
      </w:r>
      <w:r w:rsidRPr="00377607">
        <w:rPr>
          <w:rFonts w:cs="Arial"/>
          <w:szCs w:val="24"/>
        </w:rPr>
        <w:t xml:space="preserve"> invalides dans toutes les situations ». Le PGQ peut soulever la question : « Les peines minimales obligatoires applicables en l</w:t>
      </w:r>
      <w:r>
        <w:rPr>
          <w:rFonts w:cs="Arial"/>
          <w:szCs w:val="24"/>
        </w:rPr>
        <w:t>’</w:t>
      </w:r>
      <w:r w:rsidRPr="00377607">
        <w:rPr>
          <w:rFonts w:cs="Arial"/>
          <w:szCs w:val="24"/>
        </w:rPr>
        <w:t>espèce (ou l</w:t>
      </w:r>
      <w:r>
        <w:rPr>
          <w:rFonts w:cs="Arial"/>
          <w:szCs w:val="24"/>
        </w:rPr>
        <w:t>’</w:t>
      </w:r>
      <w:r w:rsidRPr="00377607">
        <w:rPr>
          <w:rFonts w:cs="Arial"/>
          <w:szCs w:val="24"/>
        </w:rPr>
        <w:t>une d</w:t>
      </w:r>
      <w:r>
        <w:rPr>
          <w:rFonts w:cs="Arial"/>
          <w:szCs w:val="24"/>
        </w:rPr>
        <w:t>’</w:t>
      </w:r>
      <w:r w:rsidRPr="00377607">
        <w:rPr>
          <w:rFonts w:cs="Arial"/>
          <w:szCs w:val="24"/>
        </w:rPr>
        <w:t>elles) constituent-elles des peines cruelles et inusitées dans tout</w:t>
      </w:r>
      <w:r>
        <w:rPr>
          <w:rFonts w:cs="Arial"/>
          <w:szCs w:val="24"/>
        </w:rPr>
        <w:t>e situation</w:t>
      </w:r>
      <w:r w:rsidRPr="00377607">
        <w:rPr>
          <w:rFonts w:cs="Arial"/>
          <w:szCs w:val="24"/>
        </w:rPr>
        <w:t xml:space="preserve"> raisonnablement prévisible? ». La réponse pourrait être « Oui, et elles sont donc injustes en l</w:t>
      </w:r>
      <w:r>
        <w:rPr>
          <w:rFonts w:cs="Arial"/>
          <w:szCs w:val="24"/>
        </w:rPr>
        <w:t>’</w:t>
      </w:r>
      <w:r w:rsidRPr="00377607">
        <w:rPr>
          <w:rFonts w:cs="Arial"/>
          <w:szCs w:val="24"/>
        </w:rPr>
        <w:t>espèce également »</w:t>
      </w:r>
      <w:r>
        <w:rPr>
          <w:rStyle w:val="Appelnotedebasdep"/>
          <w:rFonts w:cs="Arial"/>
          <w:szCs w:val="24"/>
        </w:rPr>
        <w:footnoteReference w:id="34"/>
      </w:r>
      <w:r>
        <w:rPr>
          <w:rFonts w:cs="Arial"/>
          <w:szCs w:val="24"/>
        </w:rPr>
        <w:t>.</w:t>
      </w:r>
    </w:p>
    <w:p w14:paraId="5CBA6703" w14:textId="77777777" w:rsidR="005C67B6" w:rsidRPr="00EB28CD" w:rsidRDefault="005C67B6" w:rsidP="005C67B6">
      <w:pPr>
        <w:pStyle w:val="Paragraphe"/>
        <w:spacing w:line="240" w:lineRule="auto"/>
        <w:rPr>
          <w:rFonts w:cs="Arial"/>
          <w:szCs w:val="24"/>
        </w:rPr>
      </w:pPr>
      <w:r w:rsidRPr="00377607">
        <w:rPr>
          <w:rFonts w:cs="Arial"/>
          <w:szCs w:val="24"/>
        </w:rPr>
        <w:t>La Cour suprême a fait observer que</w:t>
      </w:r>
      <w:r>
        <w:rPr>
          <w:rFonts w:cs="Arial"/>
          <w:szCs w:val="24"/>
        </w:rPr>
        <w:t xml:space="preserve"> </w:t>
      </w:r>
      <w:r w:rsidRPr="00377607">
        <w:rPr>
          <w:rFonts w:cs="Arial"/>
          <w:szCs w:val="24"/>
        </w:rPr>
        <w:t>les intérêts du DPCP et du PGQ dans une poursuite donnée s</w:t>
      </w:r>
      <w:r>
        <w:rPr>
          <w:rFonts w:cs="Arial"/>
          <w:szCs w:val="24"/>
        </w:rPr>
        <w:t>er</w:t>
      </w:r>
      <w:r w:rsidRPr="00377607">
        <w:rPr>
          <w:rFonts w:cs="Arial"/>
          <w:szCs w:val="24"/>
        </w:rPr>
        <w:t>ont inextricablement liés, car la résolution d</w:t>
      </w:r>
      <w:r>
        <w:rPr>
          <w:rFonts w:cs="Arial"/>
          <w:szCs w:val="24"/>
        </w:rPr>
        <w:t xml:space="preserve">’un </w:t>
      </w:r>
      <w:r w:rsidRPr="00377607">
        <w:rPr>
          <w:rFonts w:cs="Arial"/>
          <w:szCs w:val="24"/>
        </w:rPr>
        <w:t>appel sur la culpabilité ou la peine est indissociable de la résolution d</w:t>
      </w:r>
      <w:r>
        <w:rPr>
          <w:rFonts w:cs="Arial"/>
          <w:szCs w:val="24"/>
        </w:rPr>
        <w:t xml:space="preserve">’une </w:t>
      </w:r>
      <w:r w:rsidRPr="00377607">
        <w:rPr>
          <w:rFonts w:cs="Arial"/>
          <w:szCs w:val="24"/>
        </w:rPr>
        <w:t>question constitutionnelle plus large</w:t>
      </w:r>
      <w:r>
        <w:rPr>
          <w:rStyle w:val="Appelnotedebasdep"/>
          <w:rFonts w:cs="Arial"/>
          <w:szCs w:val="24"/>
        </w:rPr>
        <w:footnoteReference w:id="35"/>
      </w:r>
      <w:r>
        <w:rPr>
          <w:rFonts w:cs="Arial"/>
          <w:szCs w:val="24"/>
        </w:rPr>
        <w:t>.</w:t>
      </w:r>
      <w:r w:rsidRPr="00377607">
        <w:rPr>
          <w:rFonts w:cs="Arial"/>
          <w:szCs w:val="24"/>
        </w:rPr>
        <w:t xml:space="preserve"> </w:t>
      </w:r>
      <w:r>
        <w:rPr>
          <w:rFonts w:cs="Arial"/>
          <w:szCs w:val="24"/>
        </w:rPr>
        <w:t>Elle</w:t>
      </w:r>
      <w:r w:rsidRPr="00377607">
        <w:rPr>
          <w:rFonts w:cs="Arial"/>
          <w:szCs w:val="24"/>
        </w:rPr>
        <w:t xml:space="preserve"> a expliqué qu</w:t>
      </w:r>
      <w:r>
        <w:rPr>
          <w:rFonts w:cs="Arial"/>
          <w:szCs w:val="24"/>
        </w:rPr>
        <w:t>’</w:t>
      </w:r>
      <w:r w:rsidRPr="00377607">
        <w:rPr>
          <w:rFonts w:cs="Arial"/>
          <w:szCs w:val="24"/>
        </w:rPr>
        <w:t>il existe des affaires où les deux questions pourront et devront être scindées, auquel cas l</w:t>
      </w:r>
      <w:r>
        <w:rPr>
          <w:rFonts w:cs="Arial"/>
          <w:szCs w:val="24"/>
        </w:rPr>
        <w:t>’instance</w:t>
      </w:r>
      <w:r w:rsidRPr="00377607">
        <w:rPr>
          <w:rFonts w:cs="Arial"/>
          <w:szCs w:val="24"/>
        </w:rPr>
        <w:t xml:space="preserve"> visant à trancher les questions constitutionnelles </w:t>
      </w:r>
      <w:r>
        <w:rPr>
          <w:rFonts w:cs="Arial"/>
          <w:szCs w:val="24"/>
        </w:rPr>
        <w:t xml:space="preserve">plus larges </w:t>
      </w:r>
      <w:r w:rsidRPr="00377607">
        <w:rPr>
          <w:rFonts w:cs="Arial"/>
          <w:szCs w:val="24"/>
        </w:rPr>
        <w:t>se déroulera séparément. En l</w:t>
      </w:r>
      <w:r>
        <w:rPr>
          <w:rFonts w:cs="Arial"/>
          <w:szCs w:val="24"/>
        </w:rPr>
        <w:t>’</w:t>
      </w:r>
      <w:r w:rsidRPr="00377607">
        <w:rPr>
          <w:rFonts w:cs="Arial"/>
          <w:szCs w:val="24"/>
        </w:rPr>
        <w:t>espèce, le lien inextricable entre l</w:t>
      </w:r>
      <w:r>
        <w:rPr>
          <w:rFonts w:cs="Arial"/>
          <w:szCs w:val="24"/>
        </w:rPr>
        <w:t>’</w:t>
      </w:r>
      <w:r w:rsidRPr="00377607">
        <w:rPr>
          <w:rFonts w:cs="Arial"/>
          <w:szCs w:val="24"/>
        </w:rPr>
        <w:t>appel sur la peine et celui sur la validité constitutionnelle des peines minimales obligatoires est on ne peut plus clair</w:t>
      </w:r>
      <w:r>
        <w:rPr>
          <w:rFonts w:cs="Arial"/>
          <w:szCs w:val="24"/>
        </w:rPr>
        <w:t> </w:t>
      </w:r>
      <w:r w:rsidRPr="00377607">
        <w:rPr>
          <w:rFonts w:cs="Arial"/>
          <w:szCs w:val="24"/>
        </w:rPr>
        <w:t>: l</w:t>
      </w:r>
      <w:r>
        <w:rPr>
          <w:rFonts w:cs="Arial"/>
          <w:szCs w:val="24"/>
        </w:rPr>
        <w:t>’</w:t>
      </w:r>
      <w:r w:rsidRPr="00377607">
        <w:rPr>
          <w:rFonts w:cs="Arial"/>
          <w:szCs w:val="24"/>
        </w:rPr>
        <w:t>issue de l</w:t>
      </w:r>
      <w:r>
        <w:rPr>
          <w:rFonts w:cs="Arial"/>
          <w:szCs w:val="24"/>
        </w:rPr>
        <w:t>’</w:t>
      </w:r>
      <w:r w:rsidRPr="00377607">
        <w:rPr>
          <w:rFonts w:cs="Arial"/>
          <w:szCs w:val="24"/>
        </w:rPr>
        <w:t>un dépend de la résolution de l</w:t>
      </w:r>
      <w:r>
        <w:rPr>
          <w:rFonts w:cs="Arial"/>
          <w:szCs w:val="24"/>
        </w:rPr>
        <w:t>’</w:t>
      </w:r>
      <w:r w:rsidRPr="00377607">
        <w:rPr>
          <w:rFonts w:cs="Arial"/>
          <w:szCs w:val="24"/>
        </w:rPr>
        <w:t>autre. Dans ces circonstances, il est évident qu</w:t>
      </w:r>
      <w:r>
        <w:rPr>
          <w:rFonts w:cs="Arial"/>
          <w:szCs w:val="24"/>
        </w:rPr>
        <w:t>’</w:t>
      </w:r>
      <w:r w:rsidRPr="00377607">
        <w:rPr>
          <w:rFonts w:cs="Arial"/>
          <w:szCs w:val="24"/>
        </w:rPr>
        <w:t>on ne demande pas à l</w:t>
      </w:r>
      <w:r>
        <w:rPr>
          <w:rFonts w:cs="Arial"/>
          <w:szCs w:val="24"/>
        </w:rPr>
        <w:t>’</w:t>
      </w:r>
      <w:r w:rsidRPr="00377607">
        <w:rPr>
          <w:rFonts w:cs="Arial"/>
          <w:szCs w:val="24"/>
        </w:rPr>
        <w:t>intimée d</w:t>
      </w:r>
      <w:r>
        <w:rPr>
          <w:rFonts w:cs="Arial"/>
          <w:szCs w:val="24"/>
        </w:rPr>
        <w:t xml:space="preserve">e répondre à </w:t>
      </w:r>
      <w:r w:rsidRPr="00377607">
        <w:rPr>
          <w:rFonts w:cs="Arial"/>
          <w:szCs w:val="24"/>
        </w:rPr>
        <w:t>deux poursuivants ou</w:t>
      </w:r>
      <w:r>
        <w:rPr>
          <w:rFonts w:cs="Arial"/>
          <w:szCs w:val="24"/>
        </w:rPr>
        <w:t xml:space="preserve"> de se défendre dans</w:t>
      </w:r>
      <w:r w:rsidRPr="00377607">
        <w:rPr>
          <w:rFonts w:cs="Arial"/>
          <w:szCs w:val="24"/>
        </w:rPr>
        <w:t xml:space="preserve"> deux poursuites, mais dans une seule poursuite où deux questions essentielles ont été soulevées par elle-même dans ses arguments devant la juge chargée de déterminer la peine</w:t>
      </w:r>
      <w:r>
        <w:rPr>
          <w:rFonts w:cs="Arial"/>
          <w:szCs w:val="24"/>
        </w:rPr>
        <w:t> </w:t>
      </w:r>
      <w:r w:rsidRPr="00377607">
        <w:rPr>
          <w:rFonts w:cs="Arial"/>
          <w:szCs w:val="24"/>
        </w:rPr>
        <w:t xml:space="preserve">: la justesse de la peine et la validité des peines minimales obligatoires. </w:t>
      </w:r>
    </w:p>
    <w:p w14:paraId="760EB5D4" w14:textId="77777777" w:rsidR="005C67B6" w:rsidRPr="00CE7A57" w:rsidRDefault="005C67B6" w:rsidP="005C67B6">
      <w:pPr>
        <w:pStyle w:val="Paragraphe"/>
        <w:spacing w:line="240" w:lineRule="auto"/>
        <w:rPr>
          <w:rFonts w:cs="Arial"/>
          <w:szCs w:val="24"/>
        </w:rPr>
      </w:pPr>
      <w:r w:rsidRPr="00377607">
        <w:rPr>
          <w:rFonts w:cs="Arial"/>
          <w:szCs w:val="24"/>
        </w:rPr>
        <w:t>La Cour suprême s</w:t>
      </w:r>
      <w:r>
        <w:rPr>
          <w:rFonts w:cs="Arial"/>
          <w:szCs w:val="24"/>
        </w:rPr>
        <w:t>’</w:t>
      </w:r>
      <w:r w:rsidRPr="00377607">
        <w:rPr>
          <w:rFonts w:cs="Arial"/>
          <w:szCs w:val="24"/>
        </w:rPr>
        <w:t xml:space="preserve">est </w:t>
      </w:r>
      <w:r>
        <w:rPr>
          <w:rFonts w:cs="Arial"/>
          <w:szCs w:val="24"/>
        </w:rPr>
        <w:t xml:space="preserve">penchée sur </w:t>
      </w:r>
      <w:r w:rsidRPr="00377607">
        <w:rPr>
          <w:rFonts w:cs="Arial"/>
          <w:szCs w:val="24"/>
        </w:rPr>
        <w:t>l</w:t>
      </w:r>
      <w:r>
        <w:rPr>
          <w:rFonts w:cs="Arial"/>
          <w:szCs w:val="24"/>
        </w:rPr>
        <w:t>e cas de figure</w:t>
      </w:r>
      <w:r w:rsidRPr="00377607">
        <w:rPr>
          <w:rFonts w:cs="Arial"/>
          <w:szCs w:val="24"/>
        </w:rPr>
        <w:t xml:space="preserve"> où une question constitutionnelle concernant la validité d</w:t>
      </w:r>
      <w:r>
        <w:rPr>
          <w:rFonts w:cs="Arial"/>
          <w:szCs w:val="24"/>
        </w:rPr>
        <w:t>’</w:t>
      </w:r>
      <w:r w:rsidRPr="00377607">
        <w:rPr>
          <w:rFonts w:cs="Arial"/>
          <w:szCs w:val="24"/>
        </w:rPr>
        <w:t>une règle de droit</w:t>
      </w:r>
      <w:r>
        <w:rPr>
          <w:rFonts w:cs="Arial"/>
          <w:szCs w:val="24"/>
        </w:rPr>
        <w:t xml:space="preserve">, par opposition </w:t>
      </w:r>
      <w:r w:rsidRPr="00377607">
        <w:rPr>
          <w:rFonts w:cs="Arial"/>
          <w:szCs w:val="24"/>
        </w:rPr>
        <w:t>à l</w:t>
      </w:r>
      <w:r>
        <w:rPr>
          <w:rFonts w:cs="Arial"/>
          <w:szCs w:val="24"/>
        </w:rPr>
        <w:t>’</w:t>
      </w:r>
      <w:r w:rsidRPr="00377607">
        <w:rPr>
          <w:rFonts w:cs="Arial"/>
          <w:szCs w:val="24"/>
        </w:rPr>
        <w:t xml:space="preserve">application de la </w:t>
      </w:r>
      <w:r w:rsidRPr="00377607">
        <w:rPr>
          <w:rFonts w:cs="Arial"/>
          <w:i/>
          <w:iCs/>
          <w:szCs w:val="24"/>
        </w:rPr>
        <w:t>Charte</w:t>
      </w:r>
      <w:r w:rsidRPr="00377607">
        <w:rPr>
          <w:rFonts w:cs="Arial"/>
          <w:szCs w:val="24"/>
        </w:rPr>
        <w:t xml:space="preserve"> à une règle de droit dont la validité n</w:t>
      </w:r>
      <w:r>
        <w:rPr>
          <w:rFonts w:cs="Arial"/>
          <w:szCs w:val="24"/>
        </w:rPr>
        <w:t>’</w:t>
      </w:r>
      <w:r w:rsidRPr="00377607">
        <w:rPr>
          <w:rFonts w:cs="Arial"/>
          <w:szCs w:val="24"/>
        </w:rPr>
        <w:t>est pas contestée</w:t>
      </w:r>
      <w:r>
        <w:rPr>
          <w:rFonts w:cs="Arial"/>
          <w:szCs w:val="24"/>
        </w:rPr>
        <w:t>,</w:t>
      </w:r>
      <w:r w:rsidRPr="00377607">
        <w:rPr>
          <w:rFonts w:cs="Arial"/>
          <w:szCs w:val="24"/>
        </w:rPr>
        <w:t xml:space="preserve"> </w:t>
      </w:r>
      <w:r>
        <w:rPr>
          <w:rFonts w:cs="Arial"/>
          <w:szCs w:val="24"/>
        </w:rPr>
        <w:t>se pose</w:t>
      </w:r>
      <w:r w:rsidRPr="00377607">
        <w:rPr>
          <w:rFonts w:cs="Arial"/>
          <w:szCs w:val="24"/>
        </w:rPr>
        <w:t xml:space="preserve"> dans le contexte d</w:t>
      </w:r>
      <w:r>
        <w:rPr>
          <w:rFonts w:cs="Arial"/>
          <w:szCs w:val="24"/>
        </w:rPr>
        <w:t>’</w:t>
      </w:r>
      <w:r w:rsidRPr="00377607">
        <w:rPr>
          <w:rFonts w:cs="Arial"/>
          <w:szCs w:val="24"/>
        </w:rPr>
        <w:t xml:space="preserve">une poursuite </w:t>
      </w:r>
      <w:r>
        <w:rPr>
          <w:rFonts w:cs="Arial"/>
          <w:szCs w:val="24"/>
        </w:rPr>
        <w:t>criminelle</w:t>
      </w:r>
      <w:r w:rsidRPr="00377607">
        <w:rPr>
          <w:rFonts w:cs="Arial"/>
          <w:szCs w:val="24"/>
        </w:rPr>
        <w:t>. Elle</w:t>
      </w:r>
      <w:r>
        <w:rPr>
          <w:rFonts w:cs="Arial"/>
          <w:szCs w:val="24"/>
        </w:rPr>
        <w:t xml:space="preserve"> examine</w:t>
      </w:r>
      <w:r w:rsidRPr="00377607">
        <w:rPr>
          <w:rFonts w:cs="Arial"/>
          <w:szCs w:val="24"/>
        </w:rPr>
        <w:t xml:space="preserve"> cette question dans l</w:t>
      </w:r>
      <w:r>
        <w:rPr>
          <w:rFonts w:cs="Arial"/>
          <w:szCs w:val="24"/>
        </w:rPr>
        <w:t>’</w:t>
      </w:r>
      <w:r w:rsidRPr="00377607">
        <w:rPr>
          <w:rFonts w:cs="Arial"/>
          <w:szCs w:val="24"/>
        </w:rPr>
        <w:t xml:space="preserve">arrêt </w:t>
      </w:r>
      <w:r w:rsidRPr="00377607">
        <w:rPr>
          <w:rFonts w:cs="Arial"/>
          <w:i/>
          <w:iCs/>
          <w:szCs w:val="24"/>
        </w:rPr>
        <w:t>Laba</w:t>
      </w:r>
      <w:r>
        <w:rPr>
          <w:rFonts w:cs="Arial"/>
          <w:szCs w:val="24"/>
        </w:rPr>
        <w:t> :</w:t>
      </w:r>
      <w:r w:rsidRPr="00377607">
        <w:rPr>
          <w:rFonts w:cs="Arial"/>
          <w:szCs w:val="24"/>
        </w:rPr>
        <w:t xml:space="preserve"> </w:t>
      </w:r>
    </w:p>
    <w:p w14:paraId="2D627AC1" w14:textId="77777777" w:rsidR="005C67B6" w:rsidRPr="0024356F" w:rsidRDefault="005C67B6" w:rsidP="005C67B6">
      <w:pPr>
        <w:pStyle w:val="Citationenretrait"/>
        <w:spacing w:line="240" w:lineRule="auto"/>
        <w:rPr>
          <w:rFonts w:cs="Arial"/>
          <w:szCs w:val="22"/>
          <w:lang w:eastAsia="fr-CA"/>
        </w:rPr>
      </w:pPr>
      <w:r w:rsidRPr="0024356F">
        <w:rPr>
          <w:rFonts w:cs="Arial"/>
          <w:szCs w:val="22"/>
          <w:lang w:eastAsia="fr-CA"/>
        </w:rPr>
        <w:t>[21]</w:t>
      </w:r>
      <w:r w:rsidRPr="0024356F">
        <w:rPr>
          <w:rFonts w:cs="Arial"/>
          <w:szCs w:val="22"/>
          <w:lang w:eastAsia="fr-CA"/>
        </w:rPr>
        <w:tab/>
        <w:t>[…] Si jamais une conclusion à l’inconstitutionnalité coïncide avec une déclaration de culpabilité, la conclusion à l’inconstitutionnalité ne pourra faire l’objet d’aucun appel si l’accusé choisit de ne pas interjeter d’appel.</w:t>
      </w:r>
    </w:p>
    <w:p w14:paraId="360C17F4" w14:textId="7D287A3D" w:rsidR="005C67B6" w:rsidRPr="0024356F" w:rsidRDefault="005C67B6" w:rsidP="005C67B6">
      <w:pPr>
        <w:pStyle w:val="Citationenretrait"/>
        <w:spacing w:line="240" w:lineRule="auto"/>
        <w:rPr>
          <w:rFonts w:cs="Arial"/>
          <w:szCs w:val="22"/>
        </w:rPr>
      </w:pPr>
      <w:r w:rsidRPr="0024356F">
        <w:rPr>
          <w:rFonts w:cs="Arial"/>
          <w:szCs w:val="22"/>
        </w:rPr>
        <w:t>[22]      À mon sens, une telle conséquence est absurde. D’abord, on fait dépendre la constitutionnalité d’une règle de droit de la résolution d’une question complètement étrangère à la constitutionnalité, c’est‑à‑dire la culpabilité ou l’innocence de l’accusé, et de sa décision d’en appeler d’une déclaration de culpabilité</w:t>
      </w:r>
      <w:r w:rsidRPr="00DE01FB">
        <w:rPr>
          <w:rFonts w:cs="Arial"/>
          <w:szCs w:val="22"/>
        </w:rPr>
        <w:t xml:space="preserve">.    Ensuite, une règle de droit peut être annulée par un juge d’une cour provinciale ou supérieure et se retrouver inopérante jusqu’à ce qu’un autre juge soit saisi d’une autre affaire pertinente dont le verdict fournit un moyen d’appel par l’entremise du </w:t>
      </w:r>
      <w:hyperlink r:id="rId10" w:history="1">
        <w:r w:rsidR="00C2160B">
          <w:rPr>
            <w:rStyle w:val="Hyperlien"/>
            <w:rFonts w:cs="Arial"/>
            <w:i/>
            <w:iCs/>
            <w:color w:val="auto"/>
            <w:spacing w:val="-3"/>
            <w:szCs w:val="22"/>
            <w:u w:val="none"/>
          </w:rPr>
          <w:t>Code criminel</w:t>
        </w:r>
      </w:hyperlink>
      <w:r w:rsidRPr="00DE01FB">
        <w:rPr>
          <w:rFonts w:cs="Arial"/>
          <w:szCs w:val="22"/>
        </w:rPr>
        <w:t>. La législature a tout autant que l’accusé le droit de se faire entendre par les tribunaux</w:t>
      </w:r>
      <w:r w:rsidRPr="0024356F">
        <w:rPr>
          <w:rFonts w:cs="Arial"/>
          <w:szCs w:val="22"/>
        </w:rPr>
        <w:t xml:space="preserve">. Elle n’a pas vraiment cette possibilité de se faire entendre par les tribunaux si sa capacité d’aller en cour sur la question de la constitutionnalité d’une règle de droit dépend de l’éventualité qu’une conclusion de culpabilité ou d’innocence coïncide avec un moyen d’appel prévu au </w:t>
      </w:r>
      <w:r w:rsidRPr="0024356F">
        <w:rPr>
          <w:rFonts w:cs="Arial"/>
          <w:i/>
          <w:iCs/>
          <w:szCs w:val="22"/>
        </w:rPr>
        <w:t>Code criminel.</w:t>
      </w:r>
      <w:r w:rsidRPr="0024356F">
        <w:rPr>
          <w:rFonts w:cs="Arial"/>
          <w:szCs w:val="22"/>
        </w:rPr>
        <w:t xml:space="preserve"> </w:t>
      </w:r>
      <w:r w:rsidRPr="0024356F">
        <w:rPr>
          <w:rStyle w:val="Appelnotedebasdep"/>
          <w:rFonts w:cs="Arial"/>
          <w:color w:val="000000"/>
          <w:spacing w:val="-3"/>
          <w:szCs w:val="22"/>
          <w:lang w:val="en-CA"/>
        </w:rPr>
        <w:footnoteReference w:id="36"/>
      </w:r>
    </w:p>
    <w:p w14:paraId="08FFBD51" w14:textId="77777777" w:rsidR="005C67B6" w:rsidRPr="00EB28CD" w:rsidRDefault="005C67B6" w:rsidP="005C67B6">
      <w:pPr>
        <w:pStyle w:val="Paragraphe"/>
        <w:spacing w:before="240" w:line="240" w:lineRule="auto"/>
        <w:rPr>
          <w:rFonts w:cs="Arial"/>
          <w:szCs w:val="24"/>
        </w:rPr>
      </w:pPr>
      <w:r w:rsidRPr="00377607">
        <w:rPr>
          <w:rFonts w:cs="Arial"/>
          <w:szCs w:val="24"/>
        </w:rPr>
        <w:t>Ces observations s</w:t>
      </w:r>
      <w:r>
        <w:rPr>
          <w:rFonts w:cs="Arial"/>
          <w:szCs w:val="24"/>
        </w:rPr>
        <w:t>’</w:t>
      </w:r>
      <w:r w:rsidRPr="00377607">
        <w:rPr>
          <w:rFonts w:cs="Arial"/>
          <w:szCs w:val="24"/>
        </w:rPr>
        <w:t>appliquent aux affaires où la validité constitutionnelle concerne la séparation d</w:t>
      </w:r>
      <w:r>
        <w:rPr>
          <w:rFonts w:cs="Arial"/>
          <w:szCs w:val="24"/>
        </w:rPr>
        <w:t>es</w:t>
      </w:r>
      <w:r w:rsidRPr="00377607">
        <w:rPr>
          <w:rFonts w:cs="Arial"/>
          <w:szCs w:val="24"/>
        </w:rPr>
        <w:t xml:space="preserve"> pouvoir</w:t>
      </w:r>
      <w:r>
        <w:rPr>
          <w:rFonts w:cs="Arial"/>
          <w:szCs w:val="24"/>
        </w:rPr>
        <w:t xml:space="preserve">s </w:t>
      </w:r>
      <w:r w:rsidRPr="00377607">
        <w:rPr>
          <w:rFonts w:cs="Arial"/>
          <w:szCs w:val="24"/>
        </w:rPr>
        <w:t>légi</w:t>
      </w:r>
      <w:r>
        <w:rPr>
          <w:rFonts w:cs="Arial"/>
          <w:szCs w:val="24"/>
        </w:rPr>
        <w:t>slatifs aux termes de la</w:t>
      </w:r>
      <w:r w:rsidRPr="00377607">
        <w:rPr>
          <w:rFonts w:cs="Arial"/>
          <w:i/>
          <w:iCs/>
          <w:szCs w:val="24"/>
        </w:rPr>
        <w:t xml:space="preserve"> Loi constitutionnelle de 1867</w:t>
      </w:r>
      <w:r w:rsidRPr="00377607">
        <w:rPr>
          <w:rFonts w:cs="Arial"/>
          <w:szCs w:val="24"/>
        </w:rPr>
        <w:t xml:space="preserve">. </w:t>
      </w:r>
    </w:p>
    <w:p w14:paraId="560E7F73" w14:textId="77777777" w:rsidR="005C67B6" w:rsidRPr="00EB28CD" w:rsidRDefault="005C67B6" w:rsidP="005C67B6">
      <w:pPr>
        <w:pStyle w:val="Paragraphe"/>
        <w:spacing w:line="240" w:lineRule="auto"/>
        <w:rPr>
          <w:rFonts w:cs="Arial"/>
          <w:szCs w:val="24"/>
        </w:rPr>
      </w:pPr>
      <w:r>
        <w:rPr>
          <w:rFonts w:cs="Arial"/>
          <w:szCs w:val="24"/>
        </w:rPr>
        <w:t>Accorder au PGQ</w:t>
      </w:r>
      <w:r w:rsidRPr="00377607">
        <w:rPr>
          <w:rFonts w:cs="Arial"/>
          <w:szCs w:val="24"/>
        </w:rPr>
        <w:t xml:space="preserve"> l</w:t>
      </w:r>
      <w:r>
        <w:rPr>
          <w:rFonts w:cs="Arial"/>
          <w:szCs w:val="24"/>
        </w:rPr>
        <w:t>’</w:t>
      </w:r>
      <w:r w:rsidRPr="00377607">
        <w:rPr>
          <w:rFonts w:cs="Arial"/>
          <w:szCs w:val="24"/>
        </w:rPr>
        <w:t>autorisation d</w:t>
      </w:r>
      <w:r>
        <w:rPr>
          <w:rFonts w:cs="Arial"/>
          <w:szCs w:val="24"/>
        </w:rPr>
        <w:t>’</w:t>
      </w:r>
      <w:r w:rsidRPr="00377607">
        <w:rPr>
          <w:rFonts w:cs="Arial"/>
          <w:szCs w:val="24"/>
        </w:rPr>
        <w:t>interjeter appel en tant que partie en l</w:t>
      </w:r>
      <w:r>
        <w:rPr>
          <w:rFonts w:cs="Arial"/>
          <w:szCs w:val="24"/>
        </w:rPr>
        <w:t>’</w:t>
      </w:r>
      <w:r w:rsidRPr="00377607">
        <w:rPr>
          <w:rFonts w:cs="Arial"/>
          <w:szCs w:val="24"/>
        </w:rPr>
        <w:t>espèce</w:t>
      </w:r>
      <w:r>
        <w:rPr>
          <w:rFonts w:cs="Arial"/>
          <w:szCs w:val="24"/>
        </w:rPr>
        <w:t xml:space="preserve"> aurait</w:t>
      </w:r>
      <w:r w:rsidRPr="00377607">
        <w:rPr>
          <w:rFonts w:cs="Arial"/>
          <w:szCs w:val="24"/>
        </w:rPr>
        <w:t xml:space="preserve"> </w:t>
      </w:r>
      <w:r>
        <w:rPr>
          <w:rFonts w:cs="Arial"/>
          <w:szCs w:val="24"/>
        </w:rPr>
        <w:t>d</w:t>
      </w:r>
      <w:r w:rsidRPr="00377607">
        <w:rPr>
          <w:rFonts w:cs="Arial"/>
          <w:szCs w:val="24"/>
        </w:rPr>
        <w:t>es conséquences concrètes négligeables, vu notamment le rôle du PGQ que reconnaît l</w:t>
      </w:r>
      <w:r>
        <w:rPr>
          <w:rFonts w:cs="Arial"/>
          <w:szCs w:val="24"/>
        </w:rPr>
        <w:t>’</w:t>
      </w:r>
      <w:r w:rsidRPr="00377607">
        <w:rPr>
          <w:rFonts w:cs="Arial"/>
          <w:szCs w:val="24"/>
        </w:rPr>
        <w:t>article 77</w:t>
      </w:r>
      <w:r>
        <w:rPr>
          <w:rFonts w:cs="Arial"/>
          <w:szCs w:val="24"/>
        </w:rPr>
        <w:t> </w:t>
      </w:r>
      <w:r w:rsidRPr="00377607">
        <w:rPr>
          <w:rFonts w:cs="Arial"/>
          <w:i/>
          <w:iCs/>
          <w:szCs w:val="24"/>
        </w:rPr>
        <w:t>C.p.c</w:t>
      </w:r>
      <w:r w:rsidRPr="00377607">
        <w:rPr>
          <w:rFonts w:cs="Arial"/>
          <w:szCs w:val="24"/>
        </w:rPr>
        <w:t>., et cela éviterait l</w:t>
      </w:r>
      <w:r>
        <w:rPr>
          <w:rFonts w:cs="Arial"/>
          <w:szCs w:val="24"/>
        </w:rPr>
        <w:t>’</w:t>
      </w:r>
      <w:r w:rsidRPr="00377607">
        <w:rPr>
          <w:rFonts w:cs="Arial"/>
          <w:szCs w:val="24"/>
        </w:rPr>
        <w:t xml:space="preserve">absurdité décrite par le juge en chef Lamer dans </w:t>
      </w:r>
      <w:r w:rsidRPr="00377607">
        <w:rPr>
          <w:rFonts w:cs="Arial"/>
          <w:i/>
          <w:iCs/>
          <w:szCs w:val="24"/>
        </w:rPr>
        <w:t>Lava</w:t>
      </w:r>
      <w:r w:rsidRPr="00377607">
        <w:rPr>
          <w:rFonts w:cs="Arial"/>
          <w:szCs w:val="24"/>
        </w:rPr>
        <w:t>, soit d</w:t>
      </w:r>
      <w:r>
        <w:rPr>
          <w:rFonts w:cs="Arial"/>
          <w:szCs w:val="24"/>
        </w:rPr>
        <w:t>’</w:t>
      </w:r>
      <w:r w:rsidRPr="00377607">
        <w:rPr>
          <w:rFonts w:cs="Arial"/>
          <w:szCs w:val="24"/>
        </w:rPr>
        <w:t>obliger le DPCP à faire le travail du PGQ de défendre la validité des peines minimales obligatoires</w:t>
      </w:r>
      <w:r>
        <w:rPr>
          <w:rFonts w:cs="Arial"/>
          <w:szCs w:val="24"/>
        </w:rPr>
        <w:t xml:space="preserve"> de façon générale</w:t>
      </w:r>
      <w:r w:rsidRPr="00377607">
        <w:rPr>
          <w:rFonts w:cs="Arial"/>
          <w:szCs w:val="24"/>
        </w:rPr>
        <w:t>. Cela éviterait aussi d</w:t>
      </w:r>
      <w:r>
        <w:rPr>
          <w:rFonts w:cs="Arial"/>
          <w:szCs w:val="24"/>
        </w:rPr>
        <w:t>’</w:t>
      </w:r>
      <w:r w:rsidRPr="00377607">
        <w:rPr>
          <w:rFonts w:cs="Arial"/>
          <w:szCs w:val="24"/>
        </w:rPr>
        <w:t xml:space="preserve">obliger le PGQ à entreprendre une instance civile distincte pour </w:t>
      </w:r>
      <w:r>
        <w:rPr>
          <w:rFonts w:cs="Arial"/>
          <w:szCs w:val="24"/>
        </w:rPr>
        <w:t xml:space="preserve">faire </w:t>
      </w:r>
      <w:r w:rsidRPr="00377607">
        <w:rPr>
          <w:rFonts w:cs="Arial"/>
          <w:szCs w:val="24"/>
        </w:rPr>
        <w:t xml:space="preserve">trancher la question de la validité constitutionnelle. </w:t>
      </w:r>
    </w:p>
    <w:p w14:paraId="053C535F" w14:textId="77777777" w:rsidR="005C67B6" w:rsidRPr="00EF2F18" w:rsidRDefault="005C67B6" w:rsidP="005C67B6">
      <w:pPr>
        <w:pStyle w:val="Paragraphe"/>
        <w:spacing w:line="240" w:lineRule="auto"/>
        <w:rPr>
          <w:rFonts w:cs="Arial"/>
          <w:szCs w:val="24"/>
        </w:rPr>
      </w:pPr>
      <w:r w:rsidRPr="00EF2F18">
        <w:rPr>
          <w:rFonts w:cs="Arial"/>
          <w:szCs w:val="24"/>
        </w:rPr>
        <w:t xml:space="preserve">Avant de conclure sur la question de la qualité pour agir du PGQ, j’ajouterais que, à mon avis, les articles 76 à 78 </w:t>
      </w:r>
      <w:r w:rsidRPr="00EF2F18">
        <w:rPr>
          <w:rFonts w:cs="Arial"/>
          <w:i/>
          <w:iCs/>
          <w:szCs w:val="24"/>
        </w:rPr>
        <w:t>C.p.c.</w:t>
      </w:r>
      <w:r w:rsidRPr="00EF2F18">
        <w:rPr>
          <w:rFonts w:cs="Arial"/>
          <w:szCs w:val="24"/>
        </w:rPr>
        <w:t xml:space="preserve"> n’ont aucune incidence significative sur cette question en l’espèce. Ces articles exigent qu’un avis soit donné au PGQ lorsqu’une question d’ordre constitutionnel est soulevée, mais ils ne confèrent pas de qualité pour agir là où aucune n’existerait autrement. Ils reconnaissent la qualité pour agir du PGQ quand une question touchant la validité constitutionnelle est soulevée et leur objectif est d’avertir le PGQ qu’il souhaitera peut-être se prononcer sur la question énoncée dans l’avis. J’ajouterais, sans formuler de conclusion à cet effet, qu’il est pour le moins douteux de supposer que, dans une instance criminelle, le </w:t>
      </w:r>
      <w:r w:rsidRPr="00EF2F18">
        <w:rPr>
          <w:rFonts w:cs="Arial"/>
          <w:i/>
          <w:iCs/>
          <w:szCs w:val="24"/>
        </w:rPr>
        <w:t>Code de procédure civile</w:t>
      </w:r>
      <w:r w:rsidRPr="00EF2F18">
        <w:rPr>
          <w:rFonts w:cs="Arial"/>
          <w:szCs w:val="24"/>
        </w:rPr>
        <w:t xml:space="preserve"> pourrait avoir préséance sur les dispositions expresses du</w:t>
      </w:r>
      <w:r w:rsidRPr="00EF2F18">
        <w:rPr>
          <w:rFonts w:cs="Arial"/>
          <w:i/>
          <w:iCs/>
          <w:szCs w:val="24"/>
        </w:rPr>
        <w:t xml:space="preserve"> Code criminel </w:t>
      </w:r>
      <w:r w:rsidRPr="00EF2F18">
        <w:rPr>
          <w:rFonts w:cs="Arial"/>
          <w:szCs w:val="24"/>
        </w:rPr>
        <w:t xml:space="preserve">qui reconnaissent au PGQ la qualité pour agir. La seule situation où cela pourrait se produire est celle envisagée par la Cour suprême où une question de validité constitutionnelle ne serait pas inextricablement liée au bien-fondé d’un appel portant sur une condamnation ou un acquittement et serait traitée dans une instance civile distincte. </w:t>
      </w:r>
    </w:p>
    <w:p w14:paraId="765708E6" w14:textId="77777777" w:rsidR="005C67B6" w:rsidRPr="00377607" w:rsidRDefault="005C67B6" w:rsidP="005C67B6">
      <w:pPr>
        <w:pStyle w:val="Paragraphe"/>
        <w:numPr>
          <w:ilvl w:val="0"/>
          <w:numId w:val="0"/>
        </w:numPr>
        <w:spacing w:before="240" w:line="240" w:lineRule="auto"/>
        <w:rPr>
          <w:rFonts w:cs="Arial"/>
          <w:b/>
          <w:bCs/>
          <w:szCs w:val="24"/>
        </w:rPr>
      </w:pPr>
      <w:r w:rsidRPr="00377607">
        <w:rPr>
          <w:rFonts w:cs="Arial"/>
          <w:b/>
          <w:bCs/>
          <w:szCs w:val="24"/>
        </w:rPr>
        <w:t>Conclusion sur la qualité pour agir du PGQ</w:t>
      </w:r>
    </w:p>
    <w:p w14:paraId="03FD51E6" w14:textId="77777777" w:rsidR="005C67B6" w:rsidRDefault="005C67B6" w:rsidP="005C67B6">
      <w:pPr>
        <w:pStyle w:val="Paragraphe"/>
        <w:spacing w:after="240" w:line="240" w:lineRule="auto"/>
        <w:rPr>
          <w:rFonts w:cs="Arial"/>
          <w:szCs w:val="24"/>
        </w:rPr>
      </w:pPr>
      <w:r w:rsidRPr="00377607">
        <w:rPr>
          <w:rFonts w:cs="Arial"/>
          <w:szCs w:val="24"/>
        </w:rPr>
        <w:t xml:space="preserve">En résumé, </w:t>
      </w:r>
      <w:r>
        <w:rPr>
          <w:rFonts w:cs="Arial"/>
          <w:szCs w:val="24"/>
        </w:rPr>
        <w:t>aucune barrière</w:t>
      </w:r>
      <w:r w:rsidRPr="00377607">
        <w:rPr>
          <w:rFonts w:cs="Arial"/>
          <w:szCs w:val="24"/>
        </w:rPr>
        <w:t xml:space="preserve"> constitution</w:t>
      </w:r>
      <w:r>
        <w:rPr>
          <w:rFonts w:cs="Arial"/>
          <w:szCs w:val="24"/>
        </w:rPr>
        <w:t xml:space="preserve">nelle </w:t>
      </w:r>
      <w:r w:rsidRPr="00377607">
        <w:rPr>
          <w:rFonts w:cs="Arial"/>
          <w:szCs w:val="24"/>
        </w:rPr>
        <w:t>n</w:t>
      </w:r>
      <w:r>
        <w:rPr>
          <w:rFonts w:cs="Arial"/>
          <w:szCs w:val="24"/>
        </w:rPr>
        <w:t>’</w:t>
      </w:r>
      <w:r w:rsidRPr="00377607">
        <w:rPr>
          <w:rFonts w:cs="Arial"/>
          <w:szCs w:val="24"/>
        </w:rPr>
        <w:t>empêche d</w:t>
      </w:r>
      <w:r>
        <w:rPr>
          <w:rFonts w:cs="Arial"/>
          <w:szCs w:val="24"/>
        </w:rPr>
        <w:t>’</w:t>
      </w:r>
      <w:r w:rsidRPr="00377607">
        <w:rPr>
          <w:rFonts w:cs="Arial"/>
          <w:szCs w:val="24"/>
        </w:rPr>
        <w:t>accorder au PGQ l</w:t>
      </w:r>
      <w:r>
        <w:rPr>
          <w:rFonts w:cs="Arial"/>
          <w:szCs w:val="24"/>
        </w:rPr>
        <w:t>’</w:t>
      </w:r>
      <w:r w:rsidRPr="00377607">
        <w:rPr>
          <w:rFonts w:cs="Arial"/>
          <w:szCs w:val="24"/>
        </w:rPr>
        <w:t>autorisation de participer au présent appel comme partie et de faire des observations portant uniquement sur la validité constitutionnelle des peines minimales obligatoires prévues pour la production et la distribution de pornographie juvénile. Je propose de lui accorder l</w:t>
      </w:r>
      <w:r>
        <w:rPr>
          <w:rFonts w:cs="Arial"/>
          <w:szCs w:val="24"/>
        </w:rPr>
        <w:t>’</w:t>
      </w:r>
      <w:r w:rsidRPr="00377607">
        <w:rPr>
          <w:rFonts w:cs="Arial"/>
          <w:szCs w:val="24"/>
        </w:rPr>
        <w:t xml:space="preserve">autorisation de présenter ses observations sur </w:t>
      </w:r>
      <w:r>
        <w:rPr>
          <w:rFonts w:cs="Arial"/>
          <w:szCs w:val="24"/>
        </w:rPr>
        <w:t>cette question en l’espèce.</w:t>
      </w:r>
    </w:p>
    <w:p w14:paraId="77EE88B5" w14:textId="77777777" w:rsidR="005C67B6" w:rsidRPr="00377607" w:rsidRDefault="005C67B6" w:rsidP="005C67B6">
      <w:pPr>
        <w:pStyle w:val="Paragraphe"/>
        <w:numPr>
          <w:ilvl w:val="0"/>
          <w:numId w:val="0"/>
        </w:numPr>
        <w:spacing w:after="0" w:line="240" w:lineRule="auto"/>
        <w:jc w:val="center"/>
        <w:rPr>
          <w:rFonts w:cs="Arial"/>
          <w:b/>
          <w:bCs/>
          <w:szCs w:val="24"/>
        </w:rPr>
      </w:pPr>
      <w:r w:rsidRPr="00377607">
        <w:rPr>
          <w:rFonts w:cs="Arial"/>
          <w:b/>
          <w:bCs/>
          <w:szCs w:val="24"/>
        </w:rPr>
        <w:t>IV</w:t>
      </w:r>
    </w:p>
    <w:p w14:paraId="14FF6FFB" w14:textId="77777777" w:rsidR="005C67B6" w:rsidRPr="00377607" w:rsidRDefault="005C67B6" w:rsidP="005C67B6">
      <w:pPr>
        <w:pStyle w:val="Paragraphe"/>
        <w:numPr>
          <w:ilvl w:val="0"/>
          <w:numId w:val="0"/>
        </w:numPr>
        <w:spacing w:before="0" w:after="240" w:line="240" w:lineRule="auto"/>
        <w:jc w:val="center"/>
        <w:rPr>
          <w:rFonts w:cs="Arial"/>
          <w:b/>
          <w:bCs/>
          <w:szCs w:val="24"/>
        </w:rPr>
      </w:pPr>
      <w:r w:rsidRPr="00377607">
        <w:rPr>
          <w:rFonts w:cs="Arial"/>
          <w:b/>
          <w:bCs/>
          <w:szCs w:val="24"/>
        </w:rPr>
        <w:t>La peine</w:t>
      </w:r>
    </w:p>
    <w:p w14:paraId="2677BD23" w14:textId="77777777" w:rsidR="005C67B6" w:rsidRPr="00745CB7" w:rsidRDefault="005C67B6" w:rsidP="005C67B6">
      <w:pPr>
        <w:pStyle w:val="Paragraphe"/>
        <w:spacing w:line="240" w:lineRule="auto"/>
        <w:rPr>
          <w:rFonts w:cs="Arial"/>
          <w:szCs w:val="24"/>
        </w:rPr>
      </w:pPr>
      <w:r w:rsidRPr="00377607">
        <w:rPr>
          <w:rFonts w:cs="Arial"/>
          <w:szCs w:val="24"/>
        </w:rPr>
        <w:t>La Cour suprême a répété un nombre incalculable de fois qu</w:t>
      </w:r>
      <w:r>
        <w:rPr>
          <w:rFonts w:cs="Arial"/>
          <w:szCs w:val="24"/>
        </w:rPr>
        <w:t>’</w:t>
      </w:r>
      <w:r w:rsidRPr="00377607">
        <w:rPr>
          <w:rFonts w:cs="Arial"/>
          <w:szCs w:val="24"/>
        </w:rPr>
        <w:t>une cour d</w:t>
      </w:r>
      <w:r>
        <w:rPr>
          <w:rFonts w:cs="Arial"/>
          <w:szCs w:val="24"/>
        </w:rPr>
        <w:t>’</w:t>
      </w:r>
      <w:r w:rsidRPr="00377607">
        <w:rPr>
          <w:rFonts w:cs="Arial"/>
          <w:szCs w:val="24"/>
        </w:rPr>
        <w:t xml:space="preserve">appel doit s’en remettre à la décision du juge chargé de déterminer la peine, sauf si ce dernier a commis une erreur de principe ayant entraîné une peine injuste ou si </w:t>
      </w:r>
      <w:r>
        <w:rPr>
          <w:rFonts w:cs="Arial"/>
          <w:szCs w:val="24"/>
        </w:rPr>
        <w:t>la peine</w:t>
      </w:r>
      <w:r w:rsidRPr="00377607">
        <w:rPr>
          <w:rFonts w:cs="Arial"/>
          <w:szCs w:val="24"/>
        </w:rPr>
        <w:t xml:space="preserve"> est </w:t>
      </w:r>
      <w:r>
        <w:rPr>
          <w:rFonts w:cs="Arial"/>
          <w:szCs w:val="24"/>
        </w:rPr>
        <w:t xml:space="preserve">par ailleurs </w:t>
      </w:r>
      <w:r w:rsidRPr="00377607">
        <w:rPr>
          <w:rFonts w:cs="Arial"/>
          <w:szCs w:val="24"/>
        </w:rPr>
        <w:t>manifestement non indiquée. Si de telles erreurs sont établies, la cour d</w:t>
      </w:r>
      <w:r>
        <w:rPr>
          <w:rFonts w:cs="Arial"/>
          <w:szCs w:val="24"/>
        </w:rPr>
        <w:t>’</w:t>
      </w:r>
      <w:r w:rsidRPr="00377607">
        <w:rPr>
          <w:rFonts w:cs="Arial"/>
          <w:szCs w:val="24"/>
        </w:rPr>
        <w:t xml:space="preserve">appel doit annuler la décision et prononcer une peine juste. </w:t>
      </w:r>
    </w:p>
    <w:p w14:paraId="5A9FB018" w14:textId="77777777" w:rsidR="005C67B6" w:rsidRPr="00377607" w:rsidRDefault="005C67B6" w:rsidP="005C67B6">
      <w:pPr>
        <w:pStyle w:val="Paragraphe"/>
        <w:numPr>
          <w:ilvl w:val="0"/>
          <w:numId w:val="0"/>
        </w:numPr>
        <w:spacing w:line="240" w:lineRule="auto"/>
        <w:rPr>
          <w:rFonts w:cs="Arial"/>
          <w:b/>
          <w:bCs/>
          <w:i/>
          <w:iCs/>
          <w:szCs w:val="24"/>
        </w:rPr>
      </w:pPr>
      <w:r w:rsidRPr="00377607">
        <w:rPr>
          <w:rFonts w:cs="Arial"/>
          <w:b/>
          <w:bCs/>
          <w:i/>
          <w:iCs/>
          <w:szCs w:val="24"/>
        </w:rPr>
        <w:t>Points préliminaires</w:t>
      </w:r>
    </w:p>
    <w:p w14:paraId="3B337464" w14:textId="77777777" w:rsidR="005C67B6" w:rsidRPr="00377607" w:rsidRDefault="005C67B6" w:rsidP="005C67B6">
      <w:pPr>
        <w:pStyle w:val="Paragraphe"/>
        <w:spacing w:line="240" w:lineRule="auto"/>
        <w:rPr>
          <w:rFonts w:cs="Arial"/>
          <w:szCs w:val="24"/>
          <w:lang w:val="en-CA"/>
        </w:rPr>
      </w:pPr>
      <w:r w:rsidRPr="00377607">
        <w:rPr>
          <w:rFonts w:cs="Arial"/>
          <w:szCs w:val="24"/>
        </w:rPr>
        <w:t>Deux points préliminaires. Le premier est que l</w:t>
      </w:r>
      <w:r>
        <w:rPr>
          <w:rFonts w:cs="Arial"/>
          <w:szCs w:val="24"/>
        </w:rPr>
        <w:t>’</w:t>
      </w:r>
      <w:r w:rsidRPr="00377607">
        <w:rPr>
          <w:rFonts w:cs="Arial"/>
          <w:szCs w:val="24"/>
        </w:rPr>
        <w:t>infliction de peines discontinues de « trois mois » le 10 janvier 2024 excède la peine maximale de 90 jours prescrite par la loi si on la calcule dans le calendrier de cette année. L</w:t>
      </w:r>
      <w:r>
        <w:rPr>
          <w:rFonts w:cs="Arial"/>
          <w:szCs w:val="24"/>
        </w:rPr>
        <w:t>’</w:t>
      </w:r>
      <w:r w:rsidRPr="00377607">
        <w:rPr>
          <w:rFonts w:cs="Arial"/>
          <w:szCs w:val="24"/>
        </w:rPr>
        <w:t>intimée ne conteste pas ce premier point.</w:t>
      </w:r>
    </w:p>
    <w:p w14:paraId="4004FAD8" w14:textId="77777777" w:rsidR="005C67B6" w:rsidRPr="00745CB7" w:rsidRDefault="005C67B6" w:rsidP="005C67B6">
      <w:pPr>
        <w:pStyle w:val="Paragraphe"/>
        <w:spacing w:line="240" w:lineRule="auto"/>
        <w:rPr>
          <w:rFonts w:cs="Arial"/>
          <w:szCs w:val="24"/>
        </w:rPr>
      </w:pPr>
      <w:r w:rsidRPr="00377607">
        <w:rPr>
          <w:rFonts w:cs="Arial"/>
          <w:szCs w:val="24"/>
        </w:rPr>
        <w:t xml:space="preserve">Le deuxième est que la juge </w:t>
      </w:r>
      <w:r>
        <w:rPr>
          <w:rFonts w:cs="Arial"/>
          <w:szCs w:val="24"/>
        </w:rPr>
        <w:t>chargée de déterminer</w:t>
      </w:r>
      <w:r w:rsidRPr="00377607">
        <w:rPr>
          <w:rFonts w:cs="Arial"/>
          <w:szCs w:val="24"/>
        </w:rPr>
        <w:t xml:space="preserve"> la peine a omis de préciser dans ses motifs et </w:t>
      </w:r>
      <w:r>
        <w:rPr>
          <w:rFonts w:cs="Arial"/>
          <w:szCs w:val="24"/>
        </w:rPr>
        <w:t xml:space="preserve">ses </w:t>
      </w:r>
      <w:r w:rsidRPr="00377607">
        <w:rPr>
          <w:rFonts w:cs="Arial"/>
          <w:szCs w:val="24"/>
        </w:rPr>
        <w:t>conclusions que la peine minimale obligatoire était incompatible avec l</w:t>
      </w:r>
      <w:r>
        <w:rPr>
          <w:rFonts w:cs="Arial"/>
          <w:szCs w:val="24"/>
        </w:rPr>
        <w:t>’</w:t>
      </w:r>
      <w:r w:rsidRPr="00377607">
        <w:rPr>
          <w:rFonts w:cs="Arial"/>
          <w:szCs w:val="24"/>
        </w:rPr>
        <w:t>article</w:t>
      </w:r>
      <w:r>
        <w:rPr>
          <w:rFonts w:cs="Arial"/>
          <w:szCs w:val="24"/>
        </w:rPr>
        <w:t> </w:t>
      </w:r>
      <w:r w:rsidRPr="00377607">
        <w:rPr>
          <w:rFonts w:cs="Arial"/>
          <w:szCs w:val="24"/>
        </w:rPr>
        <w:t xml:space="preserve">12 de la </w:t>
      </w:r>
      <w:r w:rsidRPr="00377607">
        <w:rPr>
          <w:rFonts w:cs="Arial"/>
          <w:i/>
          <w:iCs/>
          <w:szCs w:val="24"/>
        </w:rPr>
        <w:t>Charte</w:t>
      </w:r>
      <w:r w:rsidRPr="00377607">
        <w:rPr>
          <w:rFonts w:cs="Arial"/>
          <w:szCs w:val="24"/>
        </w:rPr>
        <w:t xml:space="preserve"> pour chacune des trois infractions, et pas seulement </w:t>
      </w:r>
      <w:r>
        <w:rPr>
          <w:rFonts w:cs="Arial"/>
          <w:szCs w:val="24"/>
        </w:rPr>
        <w:t xml:space="preserve">pour </w:t>
      </w:r>
      <w:r w:rsidRPr="00377607">
        <w:rPr>
          <w:rFonts w:cs="Arial"/>
          <w:szCs w:val="24"/>
        </w:rPr>
        <w:t>celle de possession. Ce</w:t>
      </w:r>
      <w:r>
        <w:rPr>
          <w:rFonts w:cs="Arial"/>
          <w:szCs w:val="24"/>
        </w:rPr>
        <w:t>t</w:t>
      </w:r>
      <w:r w:rsidRPr="00377607">
        <w:rPr>
          <w:rFonts w:cs="Arial"/>
          <w:szCs w:val="24"/>
        </w:rPr>
        <w:t xml:space="preserve"> argument est bien fondé, mais ne suffit pas à justifier l</w:t>
      </w:r>
      <w:r>
        <w:rPr>
          <w:rFonts w:cs="Arial"/>
          <w:szCs w:val="24"/>
        </w:rPr>
        <w:t>’</w:t>
      </w:r>
      <w:r w:rsidRPr="00377607">
        <w:rPr>
          <w:rFonts w:cs="Arial"/>
          <w:szCs w:val="24"/>
        </w:rPr>
        <w:t>intervention de la Cour. La juge n</w:t>
      </w:r>
      <w:r>
        <w:rPr>
          <w:rFonts w:cs="Arial"/>
          <w:szCs w:val="24"/>
        </w:rPr>
        <w:t>’</w:t>
      </w:r>
      <w:r w:rsidRPr="00377607">
        <w:rPr>
          <w:rFonts w:cs="Arial"/>
          <w:szCs w:val="24"/>
        </w:rPr>
        <w:t>a infligé la peine minimale obligatoire pour aucune des infractions. Elle a clairement dit qu</w:t>
      </w:r>
      <w:r>
        <w:rPr>
          <w:rFonts w:cs="Arial"/>
          <w:szCs w:val="24"/>
        </w:rPr>
        <w:t>’</w:t>
      </w:r>
      <w:r w:rsidRPr="00377607">
        <w:rPr>
          <w:rFonts w:cs="Arial"/>
          <w:szCs w:val="24"/>
        </w:rPr>
        <w:t>elle était saisie d</w:t>
      </w:r>
      <w:r>
        <w:rPr>
          <w:rFonts w:cs="Arial"/>
          <w:szCs w:val="24"/>
        </w:rPr>
        <w:t>’</w:t>
      </w:r>
      <w:r w:rsidRPr="00377607">
        <w:rPr>
          <w:rFonts w:cs="Arial"/>
          <w:szCs w:val="24"/>
        </w:rPr>
        <w:t xml:space="preserve">une contestation constitutionnelle de la peine minimale obligatoire </w:t>
      </w:r>
      <w:r>
        <w:rPr>
          <w:rFonts w:cs="Arial"/>
          <w:szCs w:val="24"/>
        </w:rPr>
        <w:t>prescrite pour</w:t>
      </w:r>
      <w:r w:rsidRPr="00377607">
        <w:rPr>
          <w:rFonts w:cs="Arial"/>
          <w:szCs w:val="24"/>
        </w:rPr>
        <w:t xml:space="preserve"> chacune des </w:t>
      </w:r>
      <w:r>
        <w:rPr>
          <w:rFonts w:cs="Arial"/>
          <w:szCs w:val="24"/>
        </w:rPr>
        <w:t xml:space="preserve">trois </w:t>
      </w:r>
      <w:r w:rsidRPr="00377607">
        <w:rPr>
          <w:rFonts w:cs="Arial"/>
          <w:szCs w:val="24"/>
        </w:rPr>
        <w:t>infractions, et il va de soi qu</w:t>
      </w:r>
      <w:r>
        <w:rPr>
          <w:rFonts w:cs="Arial"/>
          <w:szCs w:val="24"/>
        </w:rPr>
        <w:t>’</w:t>
      </w:r>
      <w:r w:rsidRPr="00377607">
        <w:rPr>
          <w:rFonts w:cs="Arial"/>
          <w:szCs w:val="24"/>
        </w:rPr>
        <w:t>elle ne peut qu</w:t>
      </w:r>
      <w:r>
        <w:rPr>
          <w:rFonts w:cs="Arial"/>
          <w:szCs w:val="24"/>
        </w:rPr>
        <w:t>’</w:t>
      </w:r>
      <w:r w:rsidRPr="00377607">
        <w:rPr>
          <w:rFonts w:cs="Arial"/>
          <w:szCs w:val="24"/>
        </w:rPr>
        <w:t>avoir conclu que la peine était incompatible avec l</w:t>
      </w:r>
      <w:r>
        <w:rPr>
          <w:rFonts w:cs="Arial"/>
          <w:szCs w:val="24"/>
        </w:rPr>
        <w:t>’</w:t>
      </w:r>
      <w:r w:rsidRPr="00377607">
        <w:rPr>
          <w:rFonts w:cs="Arial"/>
          <w:szCs w:val="24"/>
        </w:rPr>
        <w:t>article</w:t>
      </w:r>
      <w:r>
        <w:rPr>
          <w:rFonts w:cs="Arial"/>
          <w:szCs w:val="24"/>
        </w:rPr>
        <w:t> </w:t>
      </w:r>
      <w:r w:rsidRPr="00377607">
        <w:rPr>
          <w:rFonts w:cs="Arial"/>
          <w:szCs w:val="24"/>
        </w:rPr>
        <w:t xml:space="preserve">12 de la </w:t>
      </w:r>
      <w:r w:rsidRPr="00377607">
        <w:rPr>
          <w:rFonts w:cs="Arial"/>
          <w:i/>
          <w:iCs/>
          <w:szCs w:val="24"/>
        </w:rPr>
        <w:t>Charte</w:t>
      </w:r>
      <w:r w:rsidRPr="00377607">
        <w:rPr>
          <w:rFonts w:cs="Arial"/>
          <w:szCs w:val="24"/>
        </w:rPr>
        <w:t xml:space="preserve"> pour chacune d</w:t>
      </w:r>
      <w:r>
        <w:rPr>
          <w:rFonts w:cs="Arial"/>
          <w:szCs w:val="24"/>
        </w:rPr>
        <w:t>’ell</w:t>
      </w:r>
      <w:r w:rsidRPr="00377607">
        <w:rPr>
          <w:rFonts w:cs="Arial"/>
          <w:szCs w:val="24"/>
        </w:rPr>
        <w:t>es</w:t>
      </w:r>
      <w:r>
        <w:rPr>
          <w:rStyle w:val="Appelnotedebasdep"/>
          <w:rFonts w:cs="Arial"/>
          <w:szCs w:val="24"/>
        </w:rPr>
        <w:footnoteReference w:id="37"/>
      </w:r>
      <w:r>
        <w:rPr>
          <w:rFonts w:cs="Arial"/>
          <w:szCs w:val="24"/>
        </w:rPr>
        <w:t>.</w:t>
      </w:r>
      <w:r w:rsidRPr="00377607">
        <w:rPr>
          <w:rFonts w:cs="Arial"/>
          <w:szCs w:val="24"/>
        </w:rPr>
        <w:t xml:space="preserve"> L</w:t>
      </w:r>
      <w:r>
        <w:rPr>
          <w:rFonts w:cs="Arial"/>
          <w:szCs w:val="24"/>
        </w:rPr>
        <w:t>’</w:t>
      </w:r>
      <w:r w:rsidRPr="00377607">
        <w:rPr>
          <w:rFonts w:cs="Arial"/>
          <w:szCs w:val="24"/>
        </w:rPr>
        <w:t>omission de la juge d</w:t>
      </w:r>
      <w:r>
        <w:rPr>
          <w:rFonts w:cs="Arial"/>
          <w:szCs w:val="24"/>
        </w:rPr>
        <w:t>’</w:t>
      </w:r>
      <w:r w:rsidRPr="00377607">
        <w:rPr>
          <w:rFonts w:cs="Arial"/>
          <w:szCs w:val="24"/>
        </w:rPr>
        <w:t>avoir précisé que sa conclusion s</w:t>
      </w:r>
      <w:r>
        <w:rPr>
          <w:rFonts w:cs="Arial"/>
          <w:szCs w:val="24"/>
        </w:rPr>
        <w:t>’</w:t>
      </w:r>
      <w:r w:rsidRPr="00377607">
        <w:rPr>
          <w:rFonts w:cs="Arial"/>
          <w:szCs w:val="24"/>
        </w:rPr>
        <w:t>applique de la même façon aux trois infractions est une erreur de forme qui ne justifie pas l</w:t>
      </w:r>
      <w:r>
        <w:rPr>
          <w:rFonts w:cs="Arial"/>
          <w:szCs w:val="24"/>
        </w:rPr>
        <w:t>’</w:t>
      </w:r>
      <w:r w:rsidRPr="00377607">
        <w:rPr>
          <w:rFonts w:cs="Arial"/>
          <w:szCs w:val="24"/>
        </w:rPr>
        <w:t>intervention de la Cour, si ce n</w:t>
      </w:r>
      <w:r>
        <w:rPr>
          <w:rFonts w:cs="Arial"/>
          <w:szCs w:val="24"/>
        </w:rPr>
        <w:t>’</w:t>
      </w:r>
      <w:r w:rsidRPr="00377607">
        <w:rPr>
          <w:rFonts w:cs="Arial"/>
          <w:szCs w:val="24"/>
        </w:rPr>
        <w:t>est que pour faire corriger l</w:t>
      </w:r>
      <w:r>
        <w:rPr>
          <w:rFonts w:cs="Arial"/>
          <w:szCs w:val="24"/>
        </w:rPr>
        <w:t>’</w:t>
      </w:r>
      <w:r w:rsidRPr="00377607">
        <w:rPr>
          <w:rFonts w:cs="Arial"/>
          <w:szCs w:val="24"/>
        </w:rPr>
        <w:t xml:space="preserve">erreur en question. </w:t>
      </w:r>
    </w:p>
    <w:p w14:paraId="1A17F422" w14:textId="77777777" w:rsidR="005C67B6" w:rsidRPr="00377607" w:rsidRDefault="005C67B6" w:rsidP="005C67B6">
      <w:pPr>
        <w:pStyle w:val="Paragraphe"/>
        <w:numPr>
          <w:ilvl w:val="0"/>
          <w:numId w:val="0"/>
        </w:numPr>
        <w:spacing w:line="240" w:lineRule="auto"/>
        <w:rPr>
          <w:rFonts w:cs="Arial"/>
          <w:b/>
          <w:bCs/>
          <w:i/>
          <w:iCs/>
          <w:szCs w:val="24"/>
        </w:rPr>
      </w:pPr>
      <w:r w:rsidRPr="00377607">
        <w:rPr>
          <w:rFonts w:cs="Arial"/>
          <w:b/>
          <w:bCs/>
          <w:i/>
          <w:iCs/>
          <w:szCs w:val="24"/>
        </w:rPr>
        <w:t>L</w:t>
      </w:r>
      <w:r>
        <w:rPr>
          <w:rFonts w:cs="Arial"/>
          <w:b/>
          <w:bCs/>
          <w:i/>
          <w:iCs/>
          <w:szCs w:val="24"/>
        </w:rPr>
        <w:t>’</w:t>
      </w:r>
      <w:r w:rsidRPr="00377607">
        <w:rPr>
          <w:rFonts w:cs="Arial"/>
          <w:b/>
          <w:bCs/>
          <w:i/>
          <w:iCs/>
          <w:szCs w:val="24"/>
        </w:rPr>
        <w:t>arrêt Senneville</w:t>
      </w:r>
    </w:p>
    <w:p w14:paraId="23FD70A7" w14:textId="77777777" w:rsidR="005C67B6" w:rsidRPr="00745CB7" w:rsidRDefault="005C67B6" w:rsidP="005C67B6">
      <w:pPr>
        <w:pStyle w:val="Paragraphe"/>
        <w:spacing w:line="240" w:lineRule="auto"/>
        <w:rPr>
          <w:rFonts w:cs="Arial"/>
          <w:szCs w:val="24"/>
        </w:rPr>
      </w:pPr>
      <w:r w:rsidRPr="00377607">
        <w:rPr>
          <w:rFonts w:cs="Arial"/>
          <w:szCs w:val="24"/>
        </w:rPr>
        <w:t>Le sort du présent pourvoi sera déterminé en grande partie par les conclusions auxquelles est arrivée la Cour suprême dans l</w:t>
      </w:r>
      <w:r>
        <w:rPr>
          <w:rFonts w:cs="Arial"/>
          <w:szCs w:val="24"/>
        </w:rPr>
        <w:t>’</w:t>
      </w:r>
      <w:r w:rsidRPr="00377607">
        <w:rPr>
          <w:rFonts w:cs="Arial"/>
          <w:szCs w:val="24"/>
        </w:rPr>
        <w:t xml:space="preserve">arrêt </w:t>
      </w:r>
      <w:r w:rsidRPr="00377607">
        <w:rPr>
          <w:rFonts w:cs="Arial"/>
          <w:i/>
          <w:iCs/>
          <w:szCs w:val="24"/>
        </w:rPr>
        <w:t>Senneville</w:t>
      </w:r>
      <w:r>
        <w:rPr>
          <w:rStyle w:val="Appelnotedebasdep"/>
          <w:rFonts w:cs="Arial"/>
          <w:szCs w:val="24"/>
        </w:rPr>
        <w:footnoteReference w:id="38"/>
      </w:r>
      <w:r>
        <w:rPr>
          <w:rFonts w:cs="Arial"/>
          <w:szCs w:val="24"/>
        </w:rPr>
        <w:t> :</w:t>
      </w:r>
    </w:p>
    <w:p w14:paraId="4CD78844" w14:textId="77777777" w:rsidR="005C67B6" w:rsidRPr="00745CB7" w:rsidRDefault="005C67B6" w:rsidP="00DE01FB">
      <w:pPr>
        <w:pStyle w:val="Paragraphe"/>
        <w:numPr>
          <w:ilvl w:val="0"/>
          <w:numId w:val="21"/>
        </w:numPr>
        <w:spacing w:line="240" w:lineRule="auto"/>
        <w:ind w:left="1151" w:hanging="357"/>
        <w:rPr>
          <w:rFonts w:cs="Arial"/>
          <w:szCs w:val="24"/>
        </w:rPr>
      </w:pPr>
      <w:r w:rsidRPr="00377607">
        <w:rPr>
          <w:rFonts w:cs="Arial"/>
          <w:szCs w:val="24"/>
        </w:rPr>
        <w:t>les peines minimales obligatoires prévues pour les infractions d</w:t>
      </w:r>
      <w:r>
        <w:rPr>
          <w:rFonts w:cs="Arial"/>
          <w:szCs w:val="24"/>
        </w:rPr>
        <w:t>’</w:t>
      </w:r>
      <w:r w:rsidRPr="00377607">
        <w:rPr>
          <w:rFonts w:cs="Arial"/>
          <w:szCs w:val="24"/>
        </w:rPr>
        <w:t>accès et de possession de pornographie juvénile sont incompatibles avec la protection contre les peines cruelles et inusitées garantie à l</w:t>
      </w:r>
      <w:r>
        <w:rPr>
          <w:rFonts w:cs="Arial"/>
          <w:szCs w:val="24"/>
        </w:rPr>
        <w:t>’</w:t>
      </w:r>
      <w:r w:rsidRPr="00377607">
        <w:rPr>
          <w:rFonts w:cs="Arial"/>
          <w:szCs w:val="24"/>
        </w:rPr>
        <w:t xml:space="preserve">article 12 de la </w:t>
      </w:r>
      <w:r w:rsidRPr="00377607">
        <w:rPr>
          <w:rFonts w:cs="Arial"/>
          <w:i/>
          <w:iCs/>
          <w:szCs w:val="24"/>
        </w:rPr>
        <w:t>Charte</w:t>
      </w:r>
      <w:r w:rsidRPr="00377607">
        <w:rPr>
          <w:rFonts w:cs="Arial"/>
          <w:szCs w:val="24"/>
        </w:rPr>
        <w:t xml:space="preserve"> et in</w:t>
      </w:r>
      <w:r>
        <w:rPr>
          <w:rFonts w:cs="Arial"/>
          <w:szCs w:val="24"/>
        </w:rPr>
        <w:t>valid</w:t>
      </w:r>
      <w:r w:rsidRPr="00377607">
        <w:rPr>
          <w:rFonts w:cs="Arial"/>
          <w:szCs w:val="24"/>
        </w:rPr>
        <w:t>es en application de l</w:t>
      </w:r>
      <w:r>
        <w:rPr>
          <w:rFonts w:cs="Arial"/>
          <w:szCs w:val="24"/>
        </w:rPr>
        <w:t>’</w:t>
      </w:r>
      <w:r w:rsidRPr="00377607">
        <w:rPr>
          <w:rFonts w:cs="Arial"/>
          <w:szCs w:val="24"/>
        </w:rPr>
        <w:t xml:space="preserve">article 52 de la </w:t>
      </w:r>
      <w:r w:rsidRPr="00377607">
        <w:rPr>
          <w:rFonts w:cs="Arial"/>
          <w:i/>
          <w:iCs/>
          <w:szCs w:val="24"/>
        </w:rPr>
        <w:t>Loi constitutionnelle de 1982</w:t>
      </w:r>
      <w:r w:rsidRPr="00377607">
        <w:rPr>
          <w:rFonts w:cs="Arial"/>
          <w:szCs w:val="24"/>
        </w:rPr>
        <w:t xml:space="preserve">; </w:t>
      </w:r>
    </w:p>
    <w:p w14:paraId="03936B21" w14:textId="77777777" w:rsidR="005C67B6" w:rsidRPr="00745CB7" w:rsidRDefault="005C67B6" w:rsidP="00DE01FB">
      <w:pPr>
        <w:pStyle w:val="Sous-paragraphe"/>
        <w:numPr>
          <w:ilvl w:val="0"/>
          <w:numId w:val="21"/>
        </w:numPr>
        <w:spacing w:line="240" w:lineRule="auto"/>
        <w:ind w:left="1151" w:hanging="357"/>
        <w:rPr>
          <w:rFonts w:cs="Arial"/>
          <w:szCs w:val="24"/>
        </w:rPr>
      </w:pPr>
      <w:r w:rsidRPr="00377607">
        <w:rPr>
          <w:rFonts w:cs="Arial"/>
          <w:szCs w:val="24"/>
        </w:rPr>
        <w:t>dans tous les cas, l</w:t>
      </w:r>
      <w:r>
        <w:rPr>
          <w:rFonts w:cs="Arial"/>
          <w:szCs w:val="24"/>
        </w:rPr>
        <w:t>’</w:t>
      </w:r>
      <w:r w:rsidRPr="00377607">
        <w:rPr>
          <w:rFonts w:cs="Arial"/>
          <w:szCs w:val="24"/>
        </w:rPr>
        <w:t>analyse de la validité constitutionnelle d</w:t>
      </w:r>
      <w:r>
        <w:rPr>
          <w:rFonts w:cs="Arial"/>
          <w:szCs w:val="24"/>
        </w:rPr>
        <w:t>’</w:t>
      </w:r>
      <w:r w:rsidRPr="00377607">
        <w:rPr>
          <w:rFonts w:cs="Arial"/>
          <w:szCs w:val="24"/>
        </w:rPr>
        <w:t>une peine minimale obligatoire doit être faite sous l</w:t>
      </w:r>
      <w:r>
        <w:rPr>
          <w:rFonts w:cs="Arial"/>
          <w:szCs w:val="24"/>
        </w:rPr>
        <w:t>’</w:t>
      </w:r>
      <w:r w:rsidRPr="00377607">
        <w:rPr>
          <w:rFonts w:cs="Arial"/>
          <w:szCs w:val="24"/>
        </w:rPr>
        <w:t>angle d</w:t>
      </w:r>
      <w:r>
        <w:rPr>
          <w:rFonts w:cs="Arial"/>
          <w:szCs w:val="24"/>
        </w:rPr>
        <w:t>’</w:t>
      </w:r>
      <w:r w:rsidRPr="00377607">
        <w:rPr>
          <w:rFonts w:cs="Arial"/>
          <w:szCs w:val="24"/>
        </w:rPr>
        <w:t>un</w:t>
      </w:r>
      <w:r>
        <w:rPr>
          <w:rFonts w:cs="Arial"/>
          <w:szCs w:val="24"/>
        </w:rPr>
        <w:t>e situation</w:t>
      </w:r>
      <w:r w:rsidRPr="00377607">
        <w:rPr>
          <w:rFonts w:cs="Arial"/>
          <w:szCs w:val="24"/>
        </w:rPr>
        <w:t xml:space="preserve"> raisonnable</w:t>
      </w:r>
      <w:r>
        <w:rPr>
          <w:rFonts w:cs="Arial"/>
          <w:szCs w:val="24"/>
        </w:rPr>
        <w:t>ment prévisible</w:t>
      </w:r>
      <w:r w:rsidRPr="00377607">
        <w:rPr>
          <w:rFonts w:cs="Arial"/>
          <w:szCs w:val="24"/>
        </w:rPr>
        <w:t xml:space="preserve">. </w:t>
      </w:r>
    </w:p>
    <w:p w14:paraId="49817CF9" w14:textId="77777777" w:rsidR="005C67B6" w:rsidRPr="00377607" w:rsidRDefault="005C67B6" w:rsidP="005C67B6">
      <w:pPr>
        <w:pStyle w:val="Paragraphe"/>
        <w:numPr>
          <w:ilvl w:val="0"/>
          <w:numId w:val="0"/>
        </w:numPr>
        <w:spacing w:before="240" w:line="240" w:lineRule="auto"/>
        <w:rPr>
          <w:rFonts w:cs="Arial"/>
          <w:b/>
          <w:bCs/>
          <w:i/>
          <w:iCs/>
          <w:szCs w:val="24"/>
        </w:rPr>
      </w:pPr>
      <w:r w:rsidRPr="00377607">
        <w:rPr>
          <w:rFonts w:cs="Arial"/>
          <w:b/>
          <w:bCs/>
          <w:i/>
          <w:iCs/>
          <w:szCs w:val="24"/>
        </w:rPr>
        <w:t>L</w:t>
      </w:r>
      <w:r>
        <w:rPr>
          <w:rFonts w:cs="Arial"/>
          <w:b/>
          <w:bCs/>
          <w:i/>
          <w:iCs/>
          <w:szCs w:val="24"/>
        </w:rPr>
        <w:t>’</w:t>
      </w:r>
      <w:r w:rsidRPr="00377607">
        <w:rPr>
          <w:rFonts w:cs="Arial"/>
          <w:b/>
          <w:bCs/>
          <w:i/>
          <w:iCs/>
          <w:szCs w:val="24"/>
        </w:rPr>
        <w:t>issue de l</w:t>
      </w:r>
      <w:r>
        <w:rPr>
          <w:rFonts w:cs="Arial"/>
          <w:b/>
          <w:bCs/>
          <w:i/>
          <w:iCs/>
          <w:szCs w:val="24"/>
        </w:rPr>
        <w:t>’</w:t>
      </w:r>
      <w:r w:rsidRPr="00377607">
        <w:rPr>
          <w:rFonts w:cs="Arial"/>
          <w:b/>
          <w:bCs/>
          <w:i/>
          <w:iCs/>
          <w:szCs w:val="24"/>
        </w:rPr>
        <w:t>arrêt Senneville</w:t>
      </w:r>
      <w:r w:rsidRPr="00377607">
        <w:rPr>
          <w:rFonts w:cs="Arial"/>
          <w:bCs/>
          <w:iCs/>
          <w:szCs w:val="24"/>
        </w:rPr>
        <w:t xml:space="preserve">  </w:t>
      </w:r>
    </w:p>
    <w:p w14:paraId="07A427D7" w14:textId="77777777" w:rsidR="005C67B6" w:rsidRPr="00745CB7" w:rsidRDefault="005C67B6" w:rsidP="005C67B6">
      <w:pPr>
        <w:pStyle w:val="Paragraphe"/>
        <w:spacing w:line="240" w:lineRule="auto"/>
        <w:rPr>
          <w:rFonts w:cs="Arial"/>
          <w:szCs w:val="24"/>
        </w:rPr>
      </w:pPr>
      <w:r w:rsidRPr="00377607">
        <w:rPr>
          <w:rFonts w:cs="Arial"/>
          <w:szCs w:val="24"/>
        </w:rPr>
        <w:t>La conclusion de la Cour suprême ne lie pas la Cour en ce qui concerne les peines minimales obligatoires prévues pour les infractions de production et de distribution, mais l</w:t>
      </w:r>
      <w:r>
        <w:rPr>
          <w:rFonts w:cs="Arial"/>
          <w:szCs w:val="24"/>
        </w:rPr>
        <w:t>’</w:t>
      </w:r>
      <w:r w:rsidRPr="00377607">
        <w:rPr>
          <w:rFonts w:cs="Arial"/>
          <w:szCs w:val="24"/>
        </w:rPr>
        <w:t>analyse est tout aussi pertinente et convaincante pour ces infractions qu</w:t>
      </w:r>
      <w:r>
        <w:rPr>
          <w:rFonts w:cs="Arial"/>
          <w:szCs w:val="24"/>
        </w:rPr>
        <w:t>’</w:t>
      </w:r>
      <w:r w:rsidRPr="00377607">
        <w:rPr>
          <w:rFonts w:cs="Arial"/>
          <w:szCs w:val="24"/>
        </w:rPr>
        <w:t>elle l</w:t>
      </w:r>
      <w:r>
        <w:rPr>
          <w:rFonts w:cs="Arial"/>
          <w:szCs w:val="24"/>
        </w:rPr>
        <w:t>’</w:t>
      </w:r>
      <w:r w:rsidRPr="00377607">
        <w:rPr>
          <w:rFonts w:cs="Arial"/>
          <w:szCs w:val="24"/>
        </w:rPr>
        <w:t>est pour les infractions de possession et d</w:t>
      </w:r>
      <w:r>
        <w:rPr>
          <w:rFonts w:cs="Arial"/>
          <w:szCs w:val="24"/>
        </w:rPr>
        <w:t>’</w:t>
      </w:r>
      <w:r w:rsidRPr="00377607">
        <w:rPr>
          <w:rFonts w:cs="Arial"/>
          <w:szCs w:val="24"/>
        </w:rPr>
        <w:t>accès. Les quatre infractions sont regroupées à l</w:t>
      </w:r>
      <w:r>
        <w:rPr>
          <w:rFonts w:cs="Arial"/>
          <w:szCs w:val="24"/>
        </w:rPr>
        <w:t>’</w:t>
      </w:r>
      <w:r w:rsidRPr="00377607">
        <w:rPr>
          <w:rFonts w:cs="Arial"/>
          <w:szCs w:val="24"/>
        </w:rPr>
        <w:t xml:space="preserve">article 163.1 </w:t>
      </w:r>
      <w:r w:rsidRPr="00377607">
        <w:rPr>
          <w:rFonts w:cs="Arial"/>
          <w:i/>
          <w:iCs/>
          <w:szCs w:val="24"/>
        </w:rPr>
        <w:t>C.cr.</w:t>
      </w:r>
      <w:r w:rsidRPr="00377607">
        <w:rPr>
          <w:rFonts w:cs="Arial"/>
          <w:szCs w:val="24"/>
        </w:rPr>
        <w:t xml:space="preserve"> et leurs différences n</w:t>
      </w:r>
      <w:r>
        <w:rPr>
          <w:rFonts w:cs="Arial"/>
          <w:szCs w:val="24"/>
        </w:rPr>
        <w:t>’</w:t>
      </w:r>
      <w:r w:rsidRPr="00377607">
        <w:rPr>
          <w:rFonts w:cs="Arial"/>
          <w:szCs w:val="24"/>
        </w:rPr>
        <w:t>empêchent pas d</w:t>
      </w:r>
      <w:r>
        <w:rPr>
          <w:rFonts w:cs="Arial"/>
          <w:szCs w:val="24"/>
        </w:rPr>
        <w:t>’</w:t>
      </w:r>
      <w:r w:rsidRPr="00377607">
        <w:rPr>
          <w:rFonts w:cs="Arial"/>
          <w:szCs w:val="24"/>
        </w:rPr>
        <w:t>appliquer la même logique et la même méthode d</w:t>
      </w:r>
      <w:r>
        <w:rPr>
          <w:rFonts w:cs="Arial"/>
          <w:szCs w:val="24"/>
        </w:rPr>
        <w:t>’</w:t>
      </w:r>
      <w:r w:rsidRPr="00377607">
        <w:rPr>
          <w:rFonts w:cs="Arial"/>
          <w:szCs w:val="24"/>
        </w:rPr>
        <w:t>analyse à chacune d</w:t>
      </w:r>
      <w:r>
        <w:rPr>
          <w:rFonts w:cs="Arial"/>
          <w:szCs w:val="24"/>
        </w:rPr>
        <w:t>’</w:t>
      </w:r>
      <w:r w:rsidRPr="00377607">
        <w:rPr>
          <w:rFonts w:cs="Arial"/>
          <w:szCs w:val="24"/>
        </w:rPr>
        <w:t xml:space="preserve">elles. </w:t>
      </w:r>
      <w:r>
        <w:rPr>
          <w:rFonts w:cs="Arial"/>
          <w:szCs w:val="24"/>
        </w:rPr>
        <w:t>Ce sont l</w:t>
      </w:r>
      <w:r w:rsidRPr="00377607">
        <w:rPr>
          <w:rFonts w:cs="Arial"/>
          <w:szCs w:val="24"/>
        </w:rPr>
        <w:t xml:space="preserve">es mêmes considérations et objectifs </w:t>
      </w:r>
      <w:r>
        <w:rPr>
          <w:rFonts w:cs="Arial"/>
          <w:szCs w:val="24"/>
        </w:rPr>
        <w:t xml:space="preserve">qui </w:t>
      </w:r>
      <w:r w:rsidRPr="00377607">
        <w:rPr>
          <w:rFonts w:cs="Arial"/>
          <w:szCs w:val="24"/>
        </w:rPr>
        <w:t>sous-tendent ces infractions que ceux qui sous-tendent l</w:t>
      </w:r>
      <w:r>
        <w:rPr>
          <w:rFonts w:cs="Arial"/>
          <w:szCs w:val="24"/>
        </w:rPr>
        <w:t>’</w:t>
      </w:r>
      <w:r w:rsidRPr="00377607">
        <w:rPr>
          <w:rFonts w:cs="Arial"/>
          <w:szCs w:val="24"/>
        </w:rPr>
        <w:t>ensemble des infractions d</w:t>
      </w:r>
      <w:r>
        <w:rPr>
          <w:rFonts w:cs="Arial"/>
          <w:szCs w:val="24"/>
        </w:rPr>
        <w:t>’</w:t>
      </w:r>
      <w:r w:rsidRPr="00377607">
        <w:rPr>
          <w:rFonts w:cs="Arial"/>
          <w:szCs w:val="24"/>
        </w:rPr>
        <w:t>ordre sexuel contre des mineurs, ce que reflète</w:t>
      </w:r>
      <w:r>
        <w:rPr>
          <w:rFonts w:cs="Arial"/>
          <w:szCs w:val="24"/>
        </w:rPr>
        <w:t>nt</w:t>
      </w:r>
      <w:r w:rsidRPr="00377607">
        <w:rPr>
          <w:rFonts w:cs="Arial"/>
          <w:szCs w:val="24"/>
        </w:rPr>
        <w:t xml:space="preserve"> d</w:t>
      </w:r>
      <w:r>
        <w:rPr>
          <w:rFonts w:cs="Arial"/>
          <w:szCs w:val="24"/>
        </w:rPr>
        <w:t>’</w:t>
      </w:r>
      <w:r w:rsidRPr="00377607">
        <w:rPr>
          <w:rFonts w:cs="Arial"/>
          <w:szCs w:val="24"/>
        </w:rPr>
        <w:t>ailleurs bien l</w:t>
      </w:r>
      <w:r>
        <w:rPr>
          <w:rFonts w:cs="Arial"/>
          <w:szCs w:val="24"/>
        </w:rPr>
        <w:t>’</w:t>
      </w:r>
      <w:r w:rsidRPr="00377607">
        <w:rPr>
          <w:rFonts w:cs="Arial"/>
          <w:szCs w:val="24"/>
        </w:rPr>
        <w:t>évolution des modifications législatives et la jurisprudence avant et depuis l</w:t>
      </w:r>
      <w:r>
        <w:rPr>
          <w:rFonts w:cs="Arial"/>
          <w:szCs w:val="24"/>
        </w:rPr>
        <w:t>’</w:t>
      </w:r>
      <w:r w:rsidRPr="00377607">
        <w:rPr>
          <w:rFonts w:cs="Arial"/>
          <w:szCs w:val="24"/>
        </w:rPr>
        <w:t>arrêt</w:t>
      </w:r>
      <w:r w:rsidRPr="00377607">
        <w:rPr>
          <w:rFonts w:cs="Arial"/>
          <w:i/>
          <w:iCs/>
          <w:szCs w:val="24"/>
        </w:rPr>
        <w:t xml:space="preserve"> Friesen</w:t>
      </w:r>
      <w:r>
        <w:rPr>
          <w:rStyle w:val="Appelnotedebasdep"/>
          <w:rFonts w:cs="Arial"/>
          <w:szCs w:val="24"/>
        </w:rPr>
        <w:footnoteReference w:id="39"/>
      </w:r>
      <w:r>
        <w:rPr>
          <w:rFonts w:cs="Arial"/>
          <w:i/>
          <w:iCs/>
          <w:szCs w:val="24"/>
        </w:rPr>
        <w:t>.</w:t>
      </w:r>
    </w:p>
    <w:p w14:paraId="3F990C3E" w14:textId="77777777" w:rsidR="005C67B6" w:rsidRPr="00745CB7" w:rsidRDefault="005C67B6" w:rsidP="005C67B6">
      <w:pPr>
        <w:pStyle w:val="Paragraphe"/>
        <w:numPr>
          <w:ilvl w:val="0"/>
          <w:numId w:val="0"/>
        </w:numPr>
        <w:spacing w:before="240" w:line="240" w:lineRule="auto"/>
        <w:rPr>
          <w:rFonts w:cs="Arial"/>
          <w:b/>
          <w:bCs/>
          <w:i/>
          <w:iCs/>
          <w:szCs w:val="24"/>
        </w:rPr>
      </w:pPr>
      <w:r w:rsidRPr="00377607">
        <w:rPr>
          <w:rFonts w:cs="Arial"/>
          <w:b/>
          <w:bCs/>
          <w:i/>
          <w:iCs/>
          <w:szCs w:val="24"/>
        </w:rPr>
        <w:t>La méthode d</w:t>
      </w:r>
      <w:r>
        <w:rPr>
          <w:rFonts w:cs="Arial"/>
          <w:b/>
          <w:bCs/>
          <w:i/>
          <w:iCs/>
          <w:szCs w:val="24"/>
        </w:rPr>
        <w:t>’</w:t>
      </w:r>
      <w:r w:rsidRPr="00377607">
        <w:rPr>
          <w:rFonts w:cs="Arial"/>
          <w:b/>
          <w:bCs/>
          <w:i/>
          <w:iCs/>
          <w:szCs w:val="24"/>
        </w:rPr>
        <w:t>analyse établie dans l</w:t>
      </w:r>
      <w:r>
        <w:rPr>
          <w:rFonts w:cs="Arial"/>
          <w:b/>
          <w:bCs/>
          <w:i/>
          <w:iCs/>
          <w:szCs w:val="24"/>
        </w:rPr>
        <w:t>’</w:t>
      </w:r>
      <w:r w:rsidRPr="00377607">
        <w:rPr>
          <w:rFonts w:cs="Arial"/>
          <w:b/>
          <w:bCs/>
          <w:i/>
          <w:iCs/>
          <w:szCs w:val="24"/>
        </w:rPr>
        <w:t>arrêt Senneville</w:t>
      </w:r>
    </w:p>
    <w:p w14:paraId="6D7775A5" w14:textId="77777777" w:rsidR="005C67B6" w:rsidRPr="00745CB7" w:rsidRDefault="005C67B6" w:rsidP="005C67B6">
      <w:pPr>
        <w:pStyle w:val="Paragraphe"/>
        <w:spacing w:line="240" w:lineRule="auto"/>
        <w:rPr>
          <w:rFonts w:cs="Arial"/>
          <w:szCs w:val="24"/>
        </w:rPr>
      </w:pPr>
      <w:r w:rsidRPr="00377607">
        <w:rPr>
          <w:rFonts w:cs="Arial"/>
          <w:szCs w:val="24"/>
        </w:rPr>
        <w:t>L</w:t>
      </w:r>
      <w:r>
        <w:rPr>
          <w:rFonts w:cs="Arial"/>
          <w:szCs w:val="24"/>
        </w:rPr>
        <w:t>’</w:t>
      </w:r>
      <w:r w:rsidRPr="00377607">
        <w:rPr>
          <w:rFonts w:cs="Arial"/>
          <w:szCs w:val="24"/>
        </w:rPr>
        <w:t xml:space="preserve">arrêt </w:t>
      </w:r>
      <w:r w:rsidRPr="00377607">
        <w:rPr>
          <w:rFonts w:cs="Arial"/>
          <w:i/>
          <w:iCs/>
          <w:szCs w:val="24"/>
        </w:rPr>
        <w:t>Senneville</w:t>
      </w:r>
      <w:r w:rsidRPr="00377607">
        <w:rPr>
          <w:rFonts w:cs="Arial"/>
          <w:szCs w:val="24"/>
        </w:rPr>
        <w:t xml:space="preserve"> réitère une approche développée dans des arrêts antérieurs</w:t>
      </w:r>
      <w:r>
        <w:rPr>
          <w:rStyle w:val="Appelnotedebasdep"/>
          <w:rFonts w:cs="Arial"/>
          <w:szCs w:val="24"/>
        </w:rPr>
        <w:footnoteReference w:id="40"/>
      </w:r>
      <w:r>
        <w:rPr>
          <w:rFonts w:cs="Arial"/>
          <w:szCs w:val="24"/>
        </w:rPr>
        <w:t>.</w:t>
      </w:r>
      <w:r w:rsidRPr="00377607">
        <w:rPr>
          <w:rFonts w:cs="Arial"/>
          <w:szCs w:val="24"/>
        </w:rPr>
        <w:t xml:space="preserve"> Il confirme la méthode d</w:t>
      </w:r>
      <w:r>
        <w:rPr>
          <w:rFonts w:cs="Arial"/>
          <w:szCs w:val="24"/>
        </w:rPr>
        <w:t>’</w:t>
      </w:r>
      <w:r w:rsidRPr="00377607">
        <w:rPr>
          <w:rFonts w:cs="Arial"/>
          <w:szCs w:val="24"/>
        </w:rPr>
        <w:t>analyse d</w:t>
      </w:r>
      <w:r>
        <w:rPr>
          <w:rFonts w:cs="Arial"/>
          <w:szCs w:val="24"/>
        </w:rPr>
        <w:t>’</w:t>
      </w:r>
      <w:r w:rsidRPr="00377607">
        <w:rPr>
          <w:rFonts w:cs="Arial"/>
          <w:szCs w:val="24"/>
        </w:rPr>
        <w:t>application générale dans toute affaire où la validité constitutionnelle d</w:t>
      </w:r>
      <w:r>
        <w:rPr>
          <w:rFonts w:cs="Arial"/>
          <w:szCs w:val="24"/>
        </w:rPr>
        <w:t>’</w:t>
      </w:r>
      <w:r w:rsidRPr="00377607">
        <w:rPr>
          <w:rFonts w:cs="Arial"/>
          <w:szCs w:val="24"/>
        </w:rPr>
        <w:t>une peine minimale obligatoire est en cause. Celle-ci exige que le juge détermine si la peine minimale obligatoire constituerait une peine cruelle et inusitée dans l</w:t>
      </w:r>
      <w:r>
        <w:rPr>
          <w:rFonts w:cs="Arial"/>
          <w:szCs w:val="24"/>
        </w:rPr>
        <w:t>’</w:t>
      </w:r>
      <w:r w:rsidRPr="00377607">
        <w:rPr>
          <w:rFonts w:cs="Arial"/>
          <w:szCs w:val="24"/>
        </w:rPr>
        <w:t>affaire dont il est saisi</w:t>
      </w:r>
      <w:r>
        <w:rPr>
          <w:rFonts w:cs="Arial"/>
          <w:szCs w:val="24"/>
        </w:rPr>
        <w:t>,</w:t>
      </w:r>
      <w:r w:rsidRPr="00377607">
        <w:rPr>
          <w:rFonts w:cs="Arial"/>
          <w:szCs w:val="24"/>
        </w:rPr>
        <w:t xml:space="preserve"> ainsi que dans tout</w:t>
      </w:r>
      <w:r>
        <w:rPr>
          <w:rFonts w:cs="Arial"/>
          <w:szCs w:val="24"/>
        </w:rPr>
        <w:t>e situation</w:t>
      </w:r>
      <w:r w:rsidRPr="00377607">
        <w:rPr>
          <w:rFonts w:cs="Arial"/>
          <w:szCs w:val="24"/>
        </w:rPr>
        <w:t xml:space="preserve"> raisonnablement prévisible. La méthode est la même, que le litige porte sur le caractère opérant de la peine minimale obligatoire ou sur sa validité. Il importe peu</w:t>
      </w:r>
      <w:r>
        <w:rPr>
          <w:rFonts w:cs="Arial"/>
          <w:szCs w:val="24"/>
        </w:rPr>
        <w:t xml:space="preserve"> que</w:t>
      </w:r>
      <w:r w:rsidRPr="00377607">
        <w:rPr>
          <w:rFonts w:cs="Arial"/>
          <w:szCs w:val="24"/>
        </w:rPr>
        <w:t xml:space="preserve"> la question soit </w:t>
      </w:r>
      <w:r>
        <w:rPr>
          <w:rFonts w:cs="Arial"/>
          <w:szCs w:val="24"/>
        </w:rPr>
        <w:t xml:space="preserve">d’abord </w:t>
      </w:r>
      <w:r w:rsidRPr="00377607">
        <w:rPr>
          <w:rFonts w:cs="Arial"/>
          <w:szCs w:val="24"/>
        </w:rPr>
        <w:t>soulevée devant une juridiction dont le rôle tel que circonscrit par la Constitution se limite à déclarer le caractère inopérant de la peine. Tandis qu</w:t>
      </w:r>
      <w:r>
        <w:rPr>
          <w:rFonts w:cs="Arial"/>
          <w:szCs w:val="24"/>
        </w:rPr>
        <w:t>’</w:t>
      </w:r>
      <w:r w:rsidRPr="00377607">
        <w:rPr>
          <w:rFonts w:cs="Arial"/>
          <w:szCs w:val="24"/>
        </w:rPr>
        <w:t>une cour provinciale peut déclarer qu</w:t>
      </w:r>
      <w:r>
        <w:rPr>
          <w:rFonts w:cs="Arial"/>
          <w:szCs w:val="24"/>
        </w:rPr>
        <w:t>’</w:t>
      </w:r>
      <w:r w:rsidRPr="00377607">
        <w:rPr>
          <w:rFonts w:cs="Arial"/>
          <w:szCs w:val="24"/>
        </w:rPr>
        <w:t>une peine minimale obligatoire est inopérante dans une affaire donnée, par application du paragraphe</w:t>
      </w:r>
      <w:r>
        <w:rPr>
          <w:rFonts w:cs="Arial"/>
          <w:szCs w:val="24"/>
        </w:rPr>
        <w:t> </w:t>
      </w:r>
      <w:r w:rsidRPr="00377607">
        <w:rPr>
          <w:rFonts w:cs="Arial"/>
          <w:szCs w:val="24"/>
        </w:rPr>
        <w:t xml:space="preserve">24(1) de la </w:t>
      </w:r>
      <w:r w:rsidRPr="00377607">
        <w:rPr>
          <w:rFonts w:cs="Arial"/>
          <w:i/>
          <w:iCs/>
          <w:szCs w:val="24"/>
        </w:rPr>
        <w:t>Charte</w:t>
      </w:r>
      <w:r w:rsidRPr="00377607">
        <w:rPr>
          <w:rFonts w:cs="Arial"/>
          <w:szCs w:val="24"/>
        </w:rPr>
        <w:t>, une cour supérieure peut déclarer cette peine invalide en vertu de l</w:t>
      </w:r>
      <w:r>
        <w:rPr>
          <w:rFonts w:cs="Arial"/>
          <w:szCs w:val="24"/>
        </w:rPr>
        <w:t>’</w:t>
      </w:r>
      <w:r w:rsidRPr="00377607">
        <w:rPr>
          <w:rFonts w:cs="Arial"/>
          <w:szCs w:val="24"/>
        </w:rPr>
        <w:t>article</w:t>
      </w:r>
      <w:r>
        <w:rPr>
          <w:rFonts w:cs="Arial"/>
          <w:szCs w:val="24"/>
        </w:rPr>
        <w:t> </w:t>
      </w:r>
      <w:r w:rsidRPr="00377607">
        <w:rPr>
          <w:rFonts w:cs="Arial"/>
          <w:szCs w:val="24"/>
        </w:rPr>
        <w:t xml:space="preserve">52 de la </w:t>
      </w:r>
      <w:r w:rsidRPr="00377607">
        <w:rPr>
          <w:rFonts w:cs="Arial"/>
          <w:i/>
          <w:iCs/>
          <w:szCs w:val="24"/>
        </w:rPr>
        <w:t xml:space="preserve">Loi constitutionnelle de 1982 </w:t>
      </w:r>
      <w:r w:rsidRPr="00377607">
        <w:rPr>
          <w:rFonts w:cs="Arial"/>
          <w:szCs w:val="24"/>
        </w:rPr>
        <w:t>si elle expose toutes les personnes accusées à une peine incompatible avec l</w:t>
      </w:r>
      <w:r>
        <w:rPr>
          <w:rFonts w:cs="Arial"/>
          <w:szCs w:val="24"/>
        </w:rPr>
        <w:t>’</w:t>
      </w:r>
      <w:r w:rsidRPr="00377607">
        <w:rPr>
          <w:rFonts w:cs="Arial"/>
          <w:szCs w:val="24"/>
        </w:rPr>
        <w:t>article</w:t>
      </w:r>
      <w:r>
        <w:rPr>
          <w:rFonts w:cs="Arial"/>
          <w:szCs w:val="24"/>
        </w:rPr>
        <w:t> </w:t>
      </w:r>
      <w:r w:rsidRPr="00377607">
        <w:rPr>
          <w:rFonts w:cs="Arial"/>
          <w:szCs w:val="24"/>
        </w:rPr>
        <w:t xml:space="preserve">12 de la </w:t>
      </w:r>
      <w:r w:rsidRPr="00377607">
        <w:rPr>
          <w:rFonts w:cs="Arial"/>
          <w:i/>
          <w:iCs/>
          <w:szCs w:val="24"/>
        </w:rPr>
        <w:t>Charte</w:t>
      </w:r>
      <w:r>
        <w:rPr>
          <w:rStyle w:val="Appelnotedebasdep"/>
          <w:rFonts w:cs="Arial"/>
          <w:szCs w:val="24"/>
        </w:rPr>
        <w:footnoteReference w:id="41"/>
      </w:r>
      <w:r>
        <w:rPr>
          <w:rFonts w:cs="Arial"/>
          <w:i/>
          <w:iCs/>
          <w:szCs w:val="24"/>
        </w:rPr>
        <w:t>.</w:t>
      </w:r>
      <w:r w:rsidRPr="00377607">
        <w:rPr>
          <w:rFonts w:cs="Arial"/>
          <w:szCs w:val="24"/>
        </w:rPr>
        <w:t xml:space="preserve"> En bref, l</w:t>
      </w:r>
      <w:r>
        <w:rPr>
          <w:rFonts w:cs="Arial"/>
          <w:szCs w:val="24"/>
        </w:rPr>
        <w:t>’</w:t>
      </w:r>
      <w:r w:rsidRPr="00377607">
        <w:rPr>
          <w:rFonts w:cs="Arial"/>
          <w:szCs w:val="24"/>
        </w:rPr>
        <w:t>examen d</w:t>
      </w:r>
      <w:r>
        <w:rPr>
          <w:rFonts w:cs="Arial"/>
          <w:szCs w:val="24"/>
        </w:rPr>
        <w:t>’</w:t>
      </w:r>
      <w:r w:rsidRPr="00377607">
        <w:rPr>
          <w:rFonts w:cs="Arial"/>
          <w:szCs w:val="24"/>
        </w:rPr>
        <w:t>une question constitutionnelle concernant la validité d</w:t>
      </w:r>
      <w:r>
        <w:rPr>
          <w:rFonts w:cs="Arial"/>
          <w:szCs w:val="24"/>
        </w:rPr>
        <w:t>’</w:t>
      </w:r>
      <w:r w:rsidRPr="00377607">
        <w:rPr>
          <w:rFonts w:cs="Arial"/>
          <w:szCs w:val="24"/>
        </w:rPr>
        <w:t>une peine minimale obligatoire consiste en un examen du texte de loi en vertu duquel la peine a été infligée et non seulement</w:t>
      </w:r>
      <w:r>
        <w:rPr>
          <w:rFonts w:cs="Arial"/>
          <w:szCs w:val="24"/>
        </w:rPr>
        <w:t xml:space="preserve"> en</w:t>
      </w:r>
      <w:r w:rsidRPr="00377607">
        <w:rPr>
          <w:rFonts w:cs="Arial"/>
          <w:szCs w:val="24"/>
        </w:rPr>
        <w:t xml:space="preserve"> un examen de la peine en soi. </w:t>
      </w:r>
    </w:p>
    <w:p w14:paraId="1AE933F4" w14:textId="77777777" w:rsidR="005C67B6" w:rsidRPr="00377607" w:rsidRDefault="005C67B6" w:rsidP="005C67B6">
      <w:pPr>
        <w:pStyle w:val="Paragraphe"/>
        <w:numPr>
          <w:ilvl w:val="0"/>
          <w:numId w:val="0"/>
        </w:numPr>
        <w:spacing w:before="240" w:line="240" w:lineRule="auto"/>
        <w:rPr>
          <w:rFonts w:cs="Arial"/>
          <w:b/>
          <w:bCs/>
          <w:i/>
          <w:iCs/>
          <w:szCs w:val="24"/>
        </w:rPr>
      </w:pPr>
      <w:r w:rsidRPr="00377607">
        <w:rPr>
          <w:rFonts w:cs="Arial"/>
          <w:b/>
          <w:bCs/>
          <w:i/>
          <w:iCs/>
          <w:szCs w:val="24"/>
        </w:rPr>
        <w:t>La situation raisonnablement prévisible</w:t>
      </w:r>
    </w:p>
    <w:p w14:paraId="7F7AD89A" w14:textId="77777777" w:rsidR="005C67B6" w:rsidRPr="00745CB7" w:rsidRDefault="005C67B6" w:rsidP="005C67B6">
      <w:pPr>
        <w:pStyle w:val="Paragraphe"/>
        <w:spacing w:line="240" w:lineRule="auto"/>
        <w:rPr>
          <w:rFonts w:cs="Arial"/>
          <w:szCs w:val="24"/>
        </w:rPr>
      </w:pPr>
      <w:r w:rsidRPr="00377607">
        <w:rPr>
          <w:rFonts w:cs="Arial"/>
          <w:szCs w:val="24"/>
        </w:rPr>
        <w:t>Dans l</w:t>
      </w:r>
      <w:r>
        <w:rPr>
          <w:rFonts w:cs="Arial"/>
          <w:szCs w:val="24"/>
        </w:rPr>
        <w:t>’</w:t>
      </w:r>
      <w:r w:rsidRPr="00377607">
        <w:rPr>
          <w:rFonts w:cs="Arial"/>
          <w:szCs w:val="24"/>
        </w:rPr>
        <w:t xml:space="preserve">arrêt </w:t>
      </w:r>
      <w:r w:rsidRPr="00377607">
        <w:rPr>
          <w:rFonts w:cs="Arial"/>
          <w:i/>
          <w:iCs/>
          <w:szCs w:val="24"/>
        </w:rPr>
        <w:t>Senneville</w:t>
      </w:r>
      <w:r w:rsidRPr="00377607">
        <w:rPr>
          <w:rFonts w:cs="Arial"/>
          <w:szCs w:val="24"/>
        </w:rPr>
        <w:t>, la majorité</w:t>
      </w:r>
      <w:r>
        <w:rPr>
          <w:rStyle w:val="Appelnotedebasdep"/>
          <w:rFonts w:cs="Arial"/>
          <w:szCs w:val="24"/>
        </w:rPr>
        <w:footnoteReference w:id="42"/>
      </w:r>
      <w:r w:rsidRPr="00377607">
        <w:rPr>
          <w:rFonts w:cs="Arial"/>
          <w:szCs w:val="24"/>
        </w:rPr>
        <w:t xml:space="preserve">, suivant les arrêts </w:t>
      </w:r>
      <w:r w:rsidRPr="00377607">
        <w:rPr>
          <w:rFonts w:cs="Arial"/>
          <w:i/>
          <w:iCs/>
          <w:szCs w:val="24"/>
        </w:rPr>
        <w:t>John</w:t>
      </w:r>
      <w:r>
        <w:rPr>
          <w:rStyle w:val="Appelnotedebasdep"/>
          <w:rFonts w:cs="Arial"/>
          <w:szCs w:val="24"/>
        </w:rPr>
        <w:footnoteReference w:id="43"/>
      </w:r>
      <w:r w:rsidRPr="00377607">
        <w:rPr>
          <w:rFonts w:cs="Arial"/>
          <w:szCs w:val="24"/>
        </w:rPr>
        <w:t xml:space="preserve"> et </w:t>
      </w:r>
      <w:r w:rsidRPr="00377607">
        <w:rPr>
          <w:rFonts w:cs="Arial"/>
          <w:i/>
          <w:iCs/>
          <w:szCs w:val="24"/>
        </w:rPr>
        <w:t>Bertrand Marchand</w:t>
      </w:r>
      <w:r>
        <w:rPr>
          <w:rStyle w:val="Appelnotedebasdep"/>
          <w:rFonts w:cs="Arial"/>
          <w:szCs w:val="24"/>
        </w:rPr>
        <w:footnoteReference w:id="44"/>
      </w:r>
      <w:r w:rsidRPr="00377607">
        <w:rPr>
          <w:rFonts w:cs="Arial"/>
          <w:szCs w:val="24"/>
        </w:rPr>
        <w:t>, a retenu une situation raisonnablement prévisible qui peut facilement être modifiée afin d</w:t>
      </w:r>
      <w:r>
        <w:rPr>
          <w:rFonts w:cs="Arial"/>
          <w:szCs w:val="24"/>
        </w:rPr>
        <w:t>’</w:t>
      </w:r>
      <w:r w:rsidRPr="00377607">
        <w:rPr>
          <w:rFonts w:cs="Arial"/>
          <w:szCs w:val="24"/>
        </w:rPr>
        <w:t>être appliquée en l</w:t>
      </w:r>
      <w:r>
        <w:rPr>
          <w:rFonts w:cs="Arial"/>
          <w:szCs w:val="24"/>
        </w:rPr>
        <w:t>’</w:t>
      </w:r>
      <w:r w:rsidRPr="00377607">
        <w:rPr>
          <w:rFonts w:cs="Arial"/>
          <w:szCs w:val="24"/>
        </w:rPr>
        <w:t xml:space="preserve">espèce : </w:t>
      </w:r>
    </w:p>
    <w:p w14:paraId="26D4784B" w14:textId="77777777" w:rsidR="005C67B6" w:rsidRPr="00745CB7" w:rsidRDefault="005C67B6" w:rsidP="005C67B6">
      <w:pPr>
        <w:pStyle w:val="Paragraphe"/>
        <w:numPr>
          <w:ilvl w:val="0"/>
          <w:numId w:val="0"/>
        </w:numPr>
        <w:spacing w:line="240" w:lineRule="auto"/>
        <w:ind w:left="731" w:right="720"/>
        <w:rPr>
          <w:rFonts w:cs="Arial"/>
          <w:szCs w:val="24"/>
        </w:rPr>
      </w:pPr>
      <w:r w:rsidRPr="00377607">
        <w:rPr>
          <w:rFonts w:cs="Arial"/>
          <w:szCs w:val="24"/>
        </w:rPr>
        <w:t xml:space="preserve">Une personne de dix-huit ans sans aucun antécédent judiciaire </w:t>
      </w:r>
      <w:r w:rsidRPr="00377607">
        <w:rPr>
          <w:rFonts w:cs="Arial"/>
          <w:i/>
          <w:iCs/>
          <w:szCs w:val="24"/>
        </w:rPr>
        <w:t>produit</w:t>
      </w:r>
      <w:r w:rsidRPr="00377607">
        <w:rPr>
          <w:rFonts w:cs="Arial"/>
          <w:szCs w:val="24"/>
        </w:rPr>
        <w:t xml:space="preserve"> une photo pornographique d</w:t>
      </w:r>
      <w:r>
        <w:rPr>
          <w:rFonts w:cs="Arial"/>
          <w:szCs w:val="24"/>
        </w:rPr>
        <w:t>’</w:t>
      </w:r>
      <w:r w:rsidRPr="00377607">
        <w:rPr>
          <w:rFonts w:cs="Arial"/>
          <w:szCs w:val="24"/>
        </w:rPr>
        <w:t xml:space="preserve">un mineur et la </w:t>
      </w:r>
      <w:r w:rsidRPr="00377607">
        <w:rPr>
          <w:rFonts w:cs="Arial"/>
          <w:i/>
          <w:iCs/>
          <w:szCs w:val="24"/>
        </w:rPr>
        <w:t>distribue</w:t>
      </w:r>
      <w:r w:rsidRPr="00377607">
        <w:rPr>
          <w:rFonts w:cs="Arial"/>
          <w:szCs w:val="24"/>
        </w:rPr>
        <w:t xml:space="preserve"> </w:t>
      </w:r>
      <w:r>
        <w:rPr>
          <w:rFonts w:cs="Arial"/>
          <w:szCs w:val="24"/>
        </w:rPr>
        <w:t>accompagnée d’un</w:t>
      </w:r>
      <w:r w:rsidRPr="00377607">
        <w:rPr>
          <w:rFonts w:cs="Arial"/>
          <w:szCs w:val="24"/>
        </w:rPr>
        <w:t xml:space="preserve"> texte de nature pornographique par message à une autre personne. </w:t>
      </w:r>
    </w:p>
    <w:p w14:paraId="4017A1E6" w14:textId="77777777" w:rsidR="005C67B6" w:rsidRPr="00745CB7" w:rsidRDefault="005C67B6" w:rsidP="005C67B6">
      <w:pPr>
        <w:pStyle w:val="Paragraphe"/>
        <w:spacing w:line="240" w:lineRule="auto"/>
        <w:rPr>
          <w:rFonts w:cs="Arial"/>
          <w:szCs w:val="24"/>
        </w:rPr>
      </w:pPr>
      <w:r w:rsidRPr="00377607">
        <w:rPr>
          <w:rFonts w:cs="Arial"/>
          <w:szCs w:val="24"/>
        </w:rPr>
        <w:t>Nul besoin d</w:t>
      </w:r>
      <w:r>
        <w:rPr>
          <w:rFonts w:cs="Arial"/>
          <w:szCs w:val="24"/>
        </w:rPr>
        <w:t>e changer</w:t>
      </w:r>
      <w:r w:rsidRPr="00377607">
        <w:rPr>
          <w:rFonts w:cs="Arial"/>
          <w:szCs w:val="24"/>
        </w:rPr>
        <w:t xml:space="preserve"> quoi que ce soit. </w:t>
      </w:r>
    </w:p>
    <w:p w14:paraId="65AAC76C" w14:textId="77777777" w:rsidR="005C67B6" w:rsidRPr="00377607" w:rsidRDefault="005C67B6" w:rsidP="005C67B6">
      <w:pPr>
        <w:pStyle w:val="Paragraphe"/>
        <w:numPr>
          <w:ilvl w:val="0"/>
          <w:numId w:val="0"/>
        </w:numPr>
        <w:spacing w:before="240" w:line="240" w:lineRule="auto"/>
        <w:rPr>
          <w:rFonts w:cs="Arial"/>
          <w:b/>
          <w:bCs/>
          <w:i/>
          <w:iCs/>
          <w:szCs w:val="24"/>
        </w:rPr>
      </w:pPr>
      <w:r w:rsidRPr="00377607">
        <w:rPr>
          <w:rFonts w:cs="Arial"/>
          <w:b/>
          <w:bCs/>
          <w:i/>
          <w:iCs/>
          <w:szCs w:val="24"/>
        </w:rPr>
        <w:t>Les peines infligées en l</w:t>
      </w:r>
      <w:r>
        <w:rPr>
          <w:rFonts w:cs="Arial"/>
          <w:b/>
          <w:bCs/>
          <w:i/>
          <w:iCs/>
          <w:szCs w:val="24"/>
        </w:rPr>
        <w:t>’</w:t>
      </w:r>
      <w:r w:rsidRPr="00377607">
        <w:rPr>
          <w:rFonts w:cs="Arial"/>
          <w:b/>
          <w:bCs/>
          <w:i/>
          <w:iCs/>
          <w:szCs w:val="24"/>
        </w:rPr>
        <w:t>espèce</w:t>
      </w:r>
      <w:r w:rsidRPr="00377607">
        <w:rPr>
          <w:rFonts w:cs="Arial"/>
          <w:bCs/>
          <w:iCs/>
          <w:szCs w:val="24"/>
        </w:rPr>
        <w:t xml:space="preserve"> </w:t>
      </w:r>
    </w:p>
    <w:p w14:paraId="63B17664" w14:textId="77777777" w:rsidR="005C67B6" w:rsidRPr="00745CB7" w:rsidRDefault="005C67B6" w:rsidP="005C67B6">
      <w:pPr>
        <w:pStyle w:val="Paragraphe"/>
        <w:spacing w:line="240" w:lineRule="auto"/>
        <w:rPr>
          <w:rFonts w:cs="Arial"/>
          <w:szCs w:val="24"/>
        </w:rPr>
      </w:pPr>
      <w:r w:rsidRPr="00377607">
        <w:rPr>
          <w:rFonts w:cs="Arial"/>
          <w:szCs w:val="24"/>
        </w:rPr>
        <w:t xml:space="preserve">La juge chargée de </w:t>
      </w:r>
      <w:r>
        <w:rPr>
          <w:rFonts w:cs="Arial"/>
          <w:szCs w:val="24"/>
        </w:rPr>
        <w:t>fixer</w:t>
      </w:r>
      <w:r w:rsidRPr="00377607">
        <w:rPr>
          <w:rFonts w:cs="Arial"/>
          <w:szCs w:val="24"/>
        </w:rPr>
        <w:t xml:space="preserve"> la peine en l</w:t>
      </w:r>
      <w:r>
        <w:rPr>
          <w:rFonts w:cs="Arial"/>
          <w:szCs w:val="24"/>
        </w:rPr>
        <w:t>’</w:t>
      </w:r>
      <w:r w:rsidRPr="00377607">
        <w:rPr>
          <w:rFonts w:cs="Arial"/>
          <w:szCs w:val="24"/>
        </w:rPr>
        <w:t>espèce n</w:t>
      </w:r>
      <w:r>
        <w:rPr>
          <w:rFonts w:cs="Arial"/>
          <w:szCs w:val="24"/>
        </w:rPr>
        <w:t>’</w:t>
      </w:r>
      <w:r w:rsidRPr="00377607">
        <w:rPr>
          <w:rFonts w:cs="Arial"/>
          <w:szCs w:val="24"/>
        </w:rPr>
        <w:t>a pas examiné de situation raisonnablement prévisible pour déterminer si les peines minimales obligatoires étaient totalement disproportionnées</w:t>
      </w:r>
      <w:r>
        <w:rPr>
          <w:rStyle w:val="Appelnotedebasdep"/>
          <w:rFonts w:cs="Arial"/>
          <w:szCs w:val="24"/>
        </w:rPr>
        <w:footnoteReference w:id="45"/>
      </w:r>
      <w:r>
        <w:rPr>
          <w:rFonts w:cs="Arial"/>
          <w:szCs w:val="24"/>
        </w:rPr>
        <w:t>.</w:t>
      </w:r>
      <w:r w:rsidRPr="00377607">
        <w:rPr>
          <w:rFonts w:cs="Arial"/>
          <w:szCs w:val="24"/>
        </w:rPr>
        <w:t xml:space="preserve"> Elle s</w:t>
      </w:r>
      <w:r>
        <w:rPr>
          <w:rFonts w:cs="Arial"/>
          <w:szCs w:val="24"/>
        </w:rPr>
        <w:t>’</w:t>
      </w:r>
      <w:r w:rsidRPr="00377607">
        <w:rPr>
          <w:rFonts w:cs="Arial"/>
          <w:szCs w:val="24"/>
        </w:rPr>
        <w:t xml:space="preserve">est surtout intéressée aux circonstances </w:t>
      </w:r>
      <w:r>
        <w:rPr>
          <w:rFonts w:cs="Arial"/>
          <w:szCs w:val="24"/>
        </w:rPr>
        <w:t>d</w:t>
      </w:r>
      <w:r w:rsidRPr="00377607">
        <w:rPr>
          <w:rFonts w:cs="Arial"/>
          <w:szCs w:val="24"/>
        </w:rPr>
        <w:t>es infractions et au degré de responsabilité de l</w:t>
      </w:r>
      <w:r>
        <w:rPr>
          <w:rFonts w:cs="Arial"/>
          <w:szCs w:val="24"/>
        </w:rPr>
        <w:t>’</w:t>
      </w:r>
      <w:r w:rsidRPr="00377607">
        <w:rPr>
          <w:rFonts w:cs="Arial"/>
          <w:szCs w:val="24"/>
        </w:rPr>
        <w:t xml:space="preserve">intimée. </w:t>
      </w:r>
    </w:p>
    <w:p w14:paraId="2A17B358" w14:textId="77777777" w:rsidR="005C67B6" w:rsidRPr="00745CB7" w:rsidRDefault="005C67B6" w:rsidP="005C67B6">
      <w:pPr>
        <w:pStyle w:val="Paragraphe"/>
        <w:spacing w:line="240" w:lineRule="auto"/>
        <w:rPr>
          <w:rFonts w:cs="Arial"/>
          <w:szCs w:val="24"/>
        </w:rPr>
      </w:pPr>
      <w:r w:rsidRPr="00377607">
        <w:rPr>
          <w:rFonts w:cs="Arial"/>
          <w:szCs w:val="24"/>
        </w:rPr>
        <w:t>Elle entame ses motifs en mentionnant qu</w:t>
      </w:r>
      <w:r>
        <w:rPr>
          <w:rFonts w:cs="Arial"/>
          <w:szCs w:val="24"/>
        </w:rPr>
        <w:t>’</w:t>
      </w:r>
      <w:r w:rsidRPr="00377607">
        <w:rPr>
          <w:rFonts w:cs="Arial"/>
          <w:szCs w:val="24"/>
        </w:rPr>
        <w:t>il s</w:t>
      </w:r>
      <w:r>
        <w:rPr>
          <w:rFonts w:cs="Arial"/>
          <w:szCs w:val="24"/>
        </w:rPr>
        <w:t>’</w:t>
      </w:r>
      <w:r w:rsidRPr="00377607">
        <w:rPr>
          <w:rFonts w:cs="Arial"/>
          <w:szCs w:val="24"/>
        </w:rPr>
        <w:t>agit d</w:t>
      </w:r>
      <w:r>
        <w:rPr>
          <w:rFonts w:cs="Arial"/>
          <w:szCs w:val="24"/>
        </w:rPr>
        <w:t>’</w:t>
      </w:r>
      <w:r w:rsidRPr="00377607">
        <w:rPr>
          <w:rFonts w:cs="Arial"/>
          <w:szCs w:val="24"/>
        </w:rPr>
        <w:t>une affaire où des infractions très graves ont été commises par une personne dont la responsabilité est diminuée par une caractéristique personnelle</w:t>
      </w:r>
      <w:r>
        <w:rPr>
          <w:rStyle w:val="Appelnotedebasdep"/>
          <w:rFonts w:cs="Arial"/>
          <w:szCs w:val="24"/>
        </w:rPr>
        <w:footnoteReference w:id="46"/>
      </w:r>
      <w:r>
        <w:rPr>
          <w:rFonts w:cs="Arial"/>
          <w:szCs w:val="24"/>
        </w:rPr>
        <w:t>.</w:t>
      </w:r>
      <w:r w:rsidRPr="00377607">
        <w:rPr>
          <w:rFonts w:cs="Arial"/>
          <w:szCs w:val="24"/>
        </w:rPr>
        <w:t xml:space="preserve"> Elle note que le poursuivant réclame des peines concurrentes d</w:t>
      </w:r>
      <w:r>
        <w:rPr>
          <w:rFonts w:cs="Arial"/>
          <w:szCs w:val="24"/>
        </w:rPr>
        <w:t>’</w:t>
      </w:r>
      <w:r w:rsidRPr="00377607">
        <w:rPr>
          <w:rFonts w:cs="Arial"/>
          <w:szCs w:val="24"/>
        </w:rPr>
        <w:t>emprisonnement de 24 mois pour production et distribution et de 12 mois pour possession. L</w:t>
      </w:r>
      <w:r>
        <w:rPr>
          <w:rFonts w:cs="Arial"/>
          <w:szCs w:val="24"/>
        </w:rPr>
        <w:t>’</w:t>
      </w:r>
      <w:r w:rsidRPr="00377607">
        <w:rPr>
          <w:rFonts w:cs="Arial"/>
          <w:szCs w:val="24"/>
        </w:rPr>
        <w:t xml:space="preserve">intimée fait </w:t>
      </w:r>
      <w:r>
        <w:rPr>
          <w:rFonts w:cs="Arial"/>
          <w:szCs w:val="24"/>
        </w:rPr>
        <w:t xml:space="preserve">quant à elle </w:t>
      </w:r>
      <w:r w:rsidRPr="00377607">
        <w:rPr>
          <w:rFonts w:cs="Arial"/>
          <w:szCs w:val="24"/>
        </w:rPr>
        <w:t>valoir qu</w:t>
      </w:r>
      <w:r>
        <w:rPr>
          <w:rFonts w:cs="Arial"/>
          <w:szCs w:val="24"/>
        </w:rPr>
        <w:t>’</w:t>
      </w:r>
      <w:r w:rsidRPr="00377607">
        <w:rPr>
          <w:rFonts w:cs="Arial"/>
          <w:szCs w:val="24"/>
        </w:rPr>
        <w:t>une peine concurrente discontinue de 90 jours assortie d</w:t>
      </w:r>
      <w:r>
        <w:rPr>
          <w:rFonts w:cs="Arial"/>
          <w:szCs w:val="24"/>
        </w:rPr>
        <w:t>’</w:t>
      </w:r>
      <w:r w:rsidRPr="00377607">
        <w:rPr>
          <w:rFonts w:cs="Arial"/>
          <w:szCs w:val="24"/>
        </w:rPr>
        <w:t xml:space="preserve">une probation et de travaux communautaires serait proportionnée. </w:t>
      </w:r>
    </w:p>
    <w:p w14:paraId="6A4808B7" w14:textId="77777777" w:rsidR="005C67B6" w:rsidRPr="00745CB7" w:rsidRDefault="005C67B6" w:rsidP="005C67B6">
      <w:pPr>
        <w:pStyle w:val="Paragraphe"/>
        <w:spacing w:line="240" w:lineRule="auto"/>
        <w:rPr>
          <w:rFonts w:cs="Arial"/>
          <w:szCs w:val="24"/>
        </w:rPr>
      </w:pPr>
      <w:r w:rsidRPr="00377607">
        <w:rPr>
          <w:rFonts w:cs="Arial"/>
          <w:szCs w:val="24"/>
        </w:rPr>
        <w:t>La juge souligne que les infractions ont eu lieu alors que l</w:t>
      </w:r>
      <w:r>
        <w:rPr>
          <w:rFonts w:cs="Arial"/>
          <w:szCs w:val="24"/>
        </w:rPr>
        <w:t>’</w:t>
      </w:r>
      <w:r w:rsidRPr="00377607">
        <w:rPr>
          <w:rFonts w:cs="Arial"/>
          <w:szCs w:val="24"/>
        </w:rPr>
        <w:t>intimée vivait une période difficile de stress et d</w:t>
      </w:r>
      <w:r>
        <w:rPr>
          <w:rFonts w:cs="Arial"/>
          <w:szCs w:val="24"/>
        </w:rPr>
        <w:t>’</w:t>
      </w:r>
      <w:r w:rsidRPr="00377607">
        <w:rPr>
          <w:rFonts w:cs="Arial"/>
          <w:szCs w:val="24"/>
        </w:rPr>
        <w:t>anxiété au cours de laquelle elle s</w:t>
      </w:r>
      <w:r>
        <w:rPr>
          <w:rFonts w:cs="Arial"/>
          <w:szCs w:val="24"/>
        </w:rPr>
        <w:t>’</w:t>
      </w:r>
      <w:r w:rsidRPr="00377607">
        <w:rPr>
          <w:rFonts w:cs="Arial"/>
          <w:szCs w:val="24"/>
        </w:rPr>
        <w:t>est isolée et a commencé à consommer de l</w:t>
      </w:r>
      <w:r>
        <w:rPr>
          <w:rFonts w:cs="Arial"/>
          <w:szCs w:val="24"/>
        </w:rPr>
        <w:t>’</w:t>
      </w:r>
      <w:r w:rsidRPr="00377607">
        <w:rPr>
          <w:rFonts w:cs="Arial"/>
          <w:szCs w:val="24"/>
        </w:rPr>
        <w:t>alcool et des médicaments de façon abusive en plus d</w:t>
      </w:r>
      <w:r>
        <w:rPr>
          <w:rFonts w:cs="Arial"/>
          <w:szCs w:val="24"/>
        </w:rPr>
        <w:t>’</w:t>
      </w:r>
      <w:r w:rsidRPr="00377607">
        <w:rPr>
          <w:rFonts w:cs="Arial"/>
          <w:szCs w:val="24"/>
        </w:rPr>
        <w:t>adopter un comportement inhabituel. La juge décrit la façon exemplaire dont l</w:t>
      </w:r>
      <w:r>
        <w:rPr>
          <w:rFonts w:cs="Arial"/>
          <w:szCs w:val="24"/>
        </w:rPr>
        <w:t>’</w:t>
      </w:r>
      <w:r w:rsidRPr="00377607">
        <w:rPr>
          <w:rFonts w:cs="Arial"/>
          <w:szCs w:val="24"/>
        </w:rPr>
        <w:t>intimée s</w:t>
      </w:r>
      <w:r>
        <w:rPr>
          <w:rFonts w:cs="Arial"/>
          <w:szCs w:val="24"/>
        </w:rPr>
        <w:t>’</w:t>
      </w:r>
      <w:r w:rsidRPr="00377607">
        <w:rPr>
          <w:rFonts w:cs="Arial"/>
          <w:szCs w:val="24"/>
        </w:rPr>
        <w:t xml:space="preserve">est occupée de ses enfants, ainsi que la preuve du soutien important dont elle bénéficie de la part de sa famille. </w:t>
      </w:r>
    </w:p>
    <w:p w14:paraId="688334D6" w14:textId="77777777" w:rsidR="005C67B6" w:rsidRPr="00745CB7" w:rsidRDefault="005C67B6" w:rsidP="005C67B6">
      <w:pPr>
        <w:pStyle w:val="Paragraphe"/>
        <w:spacing w:line="240" w:lineRule="auto"/>
        <w:rPr>
          <w:rFonts w:cs="Arial"/>
          <w:szCs w:val="24"/>
        </w:rPr>
      </w:pPr>
      <w:r w:rsidRPr="00377607">
        <w:rPr>
          <w:rFonts w:cs="Arial"/>
          <w:szCs w:val="24"/>
        </w:rPr>
        <w:t>La juge se réfère aux rapports présentenciels qui confirment les problèmes de consommation de l</w:t>
      </w:r>
      <w:r>
        <w:rPr>
          <w:rFonts w:cs="Arial"/>
          <w:szCs w:val="24"/>
        </w:rPr>
        <w:t>’</w:t>
      </w:r>
      <w:r w:rsidRPr="00377607">
        <w:rPr>
          <w:rFonts w:cs="Arial"/>
          <w:szCs w:val="24"/>
        </w:rPr>
        <w:t>intimée ainsi que sa participation à des sites Internet qui font la promotion d</w:t>
      </w:r>
      <w:r>
        <w:rPr>
          <w:rFonts w:cs="Arial"/>
          <w:szCs w:val="24"/>
        </w:rPr>
        <w:t>’</w:t>
      </w:r>
      <w:r w:rsidRPr="00377607">
        <w:rPr>
          <w:rFonts w:cs="Arial"/>
          <w:szCs w:val="24"/>
        </w:rPr>
        <w:t>activités sexuelles. Le</w:t>
      </w:r>
      <w:r>
        <w:rPr>
          <w:rFonts w:cs="Arial"/>
          <w:szCs w:val="24"/>
        </w:rPr>
        <w:t>s</w:t>
      </w:r>
      <w:r w:rsidRPr="00377607">
        <w:rPr>
          <w:rFonts w:cs="Arial"/>
          <w:szCs w:val="24"/>
        </w:rPr>
        <w:t xml:space="preserve"> rapport</w:t>
      </w:r>
      <w:r>
        <w:rPr>
          <w:rFonts w:cs="Arial"/>
          <w:szCs w:val="24"/>
        </w:rPr>
        <w:t>s</w:t>
      </w:r>
      <w:r w:rsidRPr="00377607">
        <w:rPr>
          <w:rFonts w:cs="Arial"/>
          <w:szCs w:val="24"/>
        </w:rPr>
        <w:t xml:space="preserve"> indique</w:t>
      </w:r>
      <w:r>
        <w:rPr>
          <w:rFonts w:cs="Arial"/>
          <w:szCs w:val="24"/>
        </w:rPr>
        <w:t>nt</w:t>
      </w:r>
      <w:r w:rsidRPr="00377607">
        <w:rPr>
          <w:rFonts w:cs="Arial"/>
          <w:szCs w:val="24"/>
        </w:rPr>
        <w:t xml:space="preserve"> que s</w:t>
      </w:r>
      <w:r>
        <w:rPr>
          <w:rFonts w:cs="Arial"/>
          <w:szCs w:val="24"/>
        </w:rPr>
        <w:t>a</w:t>
      </w:r>
      <w:r w:rsidRPr="00377607">
        <w:rPr>
          <w:rFonts w:cs="Arial"/>
          <w:szCs w:val="24"/>
        </w:rPr>
        <w:t xml:space="preserve"> </w:t>
      </w:r>
      <w:r>
        <w:rPr>
          <w:rFonts w:cs="Arial"/>
          <w:szCs w:val="24"/>
        </w:rPr>
        <w:t>consommation</w:t>
      </w:r>
      <w:r w:rsidRPr="00377607">
        <w:rPr>
          <w:rFonts w:cs="Arial"/>
          <w:szCs w:val="24"/>
        </w:rPr>
        <w:t xml:space="preserve"> de pornographie juvénile à l</w:t>
      </w:r>
      <w:r>
        <w:rPr>
          <w:rFonts w:cs="Arial"/>
          <w:szCs w:val="24"/>
        </w:rPr>
        <w:t>’</w:t>
      </w:r>
      <w:r w:rsidRPr="00377607">
        <w:rPr>
          <w:rFonts w:cs="Arial"/>
          <w:szCs w:val="24"/>
        </w:rPr>
        <w:t xml:space="preserve">époque </w:t>
      </w:r>
      <w:r>
        <w:rPr>
          <w:rFonts w:cs="Arial"/>
          <w:szCs w:val="24"/>
        </w:rPr>
        <w:t>était</w:t>
      </w:r>
      <w:r w:rsidRPr="00377607">
        <w:rPr>
          <w:rFonts w:cs="Arial"/>
          <w:szCs w:val="24"/>
        </w:rPr>
        <w:t xml:space="preserve"> motivé</w:t>
      </w:r>
      <w:r>
        <w:rPr>
          <w:rFonts w:cs="Arial"/>
          <w:szCs w:val="24"/>
        </w:rPr>
        <w:t>e</w:t>
      </w:r>
      <w:r w:rsidRPr="00377607">
        <w:rPr>
          <w:rFonts w:cs="Arial"/>
          <w:szCs w:val="24"/>
        </w:rPr>
        <w:t xml:space="preserve"> par son </w:t>
      </w:r>
      <w:r>
        <w:rPr>
          <w:rFonts w:cs="Arial"/>
          <w:szCs w:val="24"/>
        </w:rPr>
        <w:t>désir</w:t>
      </w:r>
      <w:r w:rsidRPr="00377607">
        <w:rPr>
          <w:rFonts w:cs="Arial"/>
          <w:szCs w:val="24"/>
        </w:rPr>
        <w:t xml:space="preserve"> d</w:t>
      </w:r>
      <w:r>
        <w:rPr>
          <w:rFonts w:cs="Arial"/>
          <w:szCs w:val="24"/>
        </w:rPr>
        <w:t>’</w:t>
      </w:r>
      <w:r w:rsidRPr="00377607">
        <w:rPr>
          <w:rFonts w:cs="Arial"/>
          <w:szCs w:val="24"/>
        </w:rPr>
        <w:t>alimenter les échanges avec son co-accusé et de l</w:t>
      </w:r>
      <w:r>
        <w:rPr>
          <w:rFonts w:cs="Arial"/>
          <w:szCs w:val="24"/>
        </w:rPr>
        <w:t>’</w:t>
      </w:r>
      <w:r w:rsidRPr="00377607">
        <w:rPr>
          <w:rFonts w:cs="Arial"/>
          <w:szCs w:val="24"/>
        </w:rPr>
        <w:t>exciter. Les rapports indiquent que ses communications et son comportement révèlent une façon de surmonter son anxiété et de s</w:t>
      </w:r>
      <w:r>
        <w:rPr>
          <w:rFonts w:cs="Arial"/>
          <w:szCs w:val="24"/>
        </w:rPr>
        <w:t>’</w:t>
      </w:r>
      <w:r w:rsidRPr="00377607">
        <w:rPr>
          <w:rFonts w:cs="Arial"/>
          <w:szCs w:val="24"/>
        </w:rPr>
        <w:t>évader. Ils notent que l</w:t>
      </w:r>
      <w:r>
        <w:rPr>
          <w:rFonts w:cs="Arial"/>
          <w:szCs w:val="24"/>
        </w:rPr>
        <w:t>’</w:t>
      </w:r>
      <w:r w:rsidRPr="00377607">
        <w:rPr>
          <w:rFonts w:cs="Arial"/>
          <w:szCs w:val="24"/>
        </w:rPr>
        <w:t xml:space="preserve">intimée ne présente aucun signe de déviance relativement à </w:t>
      </w:r>
      <w:r>
        <w:rPr>
          <w:rFonts w:cs="Arial"/>
          <w:szCs w:val="24"/>
        </w:rPr>
        <w:t>de</w:t>
      </w:r>
      <w:r w:rsidRPr="00377607">
        <w:rPr>
          <w:rFonts w:cs="Arial"/>
          <w:szCs w:val="24"/>
        </w:rPr>
        <w:t xml:space="preserve"> quelconque</w:t>
      </w:r>
      <w:r>
        <w:rPr>
          <w:rFonts w:cs="Arial"/>
          <w:szCs w:val="24"/>
        </w:rPr>
        <w:t>s</w:t>
      </w:r>
      <w:r w:rsidRPr="00377607">
        <w:rPr>
          <w:rFonts w:cs="Arial"/>
          <w:szCs w:val="24"/>
        </w:rPr>
        <w:t xml:space="preserve"> activité</w:t>
      </w:r>
      <w:r>
        <w:rPr>
          <w:rFonts w:cs="Arial"/>
          <w:szCs w:val="24"/>
        </w:rPr>
        <w:t>s</w:t>
      </w:r>
      <w:r w:rsidRPr="00377607">
        <w:rPr>
          <w:rFonts w:cs="Arial"/>
          <w:szCs w:val="24"/>
        </w:rPr>
        <w:t xml:space="preserve"> sexuelle</w:t>
      </w:r>
      <w:r>
        <w:rPr>
          <w:rFonts w:cs="Arial"/>
          <w:szCs w:val="24"/>
        </w:rPr>
        <w:t>s</w:t>
      </w:r>
      <w:r w:rsidRPr="00377607">
        <w:rPr>
          <w:rFonts w:cs="Arial"/>
          <w:szCs w:val="24"/>
        </w:rPr>
        <w:t xml:space="preserve"> avec des enfants. Selon un rapport faisant suite à une thérapie suivie par l</w:t>
      </w:r>
      <w:r>
        <w:rPr>
          <w:rFonts w:cs="Arial"/>
          <w:szCs w:val="24"/>
        </w:rPr>
        <w:t>’</w:t>
      </w:r>
      <w:r w:rsidRPr="00377607">
        <w:rPr>
          <w:rFonts w:cs="Arial"/>
          <w:szCs w:val="24"/>
        </w:rPr>
        <w:t>intimée, son comportement était un écart de conduite isolé et le risque de récidive est faible. En bref, la juge conclut des divers rapports et d</w:t>
      </w:r>
      <w:r>
        <w:rPr>
          <w:rFonts w:cs="Arial"/>
          <w:szCs w:val="24"/>
        </w:rPr>
        <w:t>’autres éléments de</w:t>
      </w:r>
      <w:r w:rsidRPr="00377607">
        <w:rPr>
          <w:rFonts w:cs="Arial"/>
          <w:szCs w:val="24"/>
        </w:rPr>
        <w:t xml:space="preserve"> preuve présenté</w:t>
      </w:r>
      <w:r>
        <w:rPr>
          <w:rFonts w:cs="Arial"/>
          <w:szCs w:val="24"/>
        </w:rPr>
        <w:t>s</w:t>
      </w:r>
      <w:r w:rsidRPr="00377607">
        <w:rPr>
          <w:rFonts w:cs="Arial"/>
          <w:szCs w:val="24"/>
        </w:rPr>
        <w:t xml:space="preserve"> que la vie de l</w:t>
      </w:r>
      <w:r>
        <w:rPr>
          <w:rFonts w:cs="Arial"/>
          <w:szCs w:val="24"/>
        </w:rPr>
        <w:t>’</w:t>
      </w:r>
      <w:r w:rsidRPr="00377607">
        <w:rPr>
          <w:rFonts w:cs="Arial"/>
          <w:szCs w:val="24"/>
        </w:rPr>
        <w:t>intimée</w:t>
      </w:r>
      <w:r>
        <w:rPr>
          <w:rFonts w:cs="Arial"/>
          <w:szCs w:val="24"/>
        </w:rPr>
        <w:t>,</w:t>
      </w:r>
      <w:r w:rsidRPr="00377607">
        <w:rPr>
          <w:rFonts w:cs="Arial"/>
          <w:szCs w:val="24"/>
        </w:rPr>
        <w:t xml:space="preserve"> avant et depuis la commission des infractions</w:t>
      </w:r>
      <w:r>
        <w:rPr>
          <w:rFonts w:cs="Arial"/>
          <w:szCs w:val="24"/>
        </w:rPr>
        <w:t>,</w:t>
      </w:r>
      <w:r w:rsidRPr="00377607">
        <w:rPr>
          <w:rFonts w:cs="Arial"/>
          <w:szCs w:val="24"/>
        </w:rPr>
        <w:t xml:space="preserve"> est irréprochable. </w:t>
      </w:r>
    </w:p>
    <w:p w14:paraId="0C8EE637" w14:textId="77777777" w:rsidR="005C67B6" w:rsidRPr="00745CB7" w:rsidRDefault="005C67B6" w:rsidP="005C67B6">
      <w:pPr>
        <w:pStyle w:val="Paragraphe"/>
        <w:spacing w:line="240" w:lineRule="auto"/>
        <w:rPr>
          <w:rFonts w:cs="Arial"/>
          <w:szCs w:val="24"/>
        </w:rPr>
      </w:pPr>
      <w:r w:rsidRPr="00377607">
        <w:rPr>
          <w:rFonts w:cs="Arial"/>
          <w:szCs w:val="24"/>
        </w:rPr>
        <w:t>La juge note également que l</w:t>
      </w:r>
      <w:r>
        <w:rPr>
          <w:rFonts w:cs="Arial"/>
          <w:szCs w:val="24"/>
        </w:rPr>
        <w:t>’</w:t>
      </w:r>
      <w:r w:rsidRPr="00377607">
        <w:rPr>
          <w:rFonts w:cs="Arial"/>
          <w:szCs w:val="24"/>
        </w:rPr>
        <w:t>intimée a participé activement et à plusieurs reprises pendant plus d</w:t>
      </w:r>
      <w:r>
        <w:rPr>
          <w:rFonts w:cs="Arial"/>
          <w:szCs w:val="24"/>
        </w:rPr>
        <w:t>’</w:t>
      </w:r>
      <w:r w:rsidRPr="00377607">
        <w:rPr>
          <w:rFonts w:cs="Arial"/>
          <w:szCs w:val="24"/>
        </w:rPr>
        <w:t>une semaine aux infractions auxquelles elle a plaidé coupable, qu</w:t>
      </w:r>
      <w:r>
        <w:rPr>
          <w:rFonts w:cs="Arial"/>
          <w:szCs w:val="24"/>
        </w:rPr>
        <w:t>’</w:t>
      </w:r>
      <w:r w:rsidRPr="00377607">
        <w:rPr>
          <w:rFonts w:cs="Arial"/>
          <w:szCs w:val="24"/>
        </w:rPr>
        <w:t>elle a recherché et conservé pendant un certain temps la pédopornographie et qu</w:t>
      </w:r>
      <w:r>
        <w:rPr>
          <w:rFonts w:cs="Arial"/>
          <w:szCs w:val="24"/>
        </w:rPr>
        <w:t>’</w:t>
      </w:r>
      <w:r w:rsidRPr="00377607">
        <w:rPr>
          <w:rFonts w:cs="Arial"/>
          <w:szCs w:val="24"/>
        </w:rPr>
        <w:t xml:space="preserve">elle a continué durant cette période à participer de son plein gré aux gestes pour lesquels elle a été accusée. </w:t>
      </w:r>
    </w:p>
    <w:p w14:paraId="612271BE" w14:textId="77777777" w:rsidR="005C67B6" w:rsidRPr="00745CB7" w:rsidRDefault="005C67B6" w:rsidP="005C67B6">
      <w:pPr>
        <w:pStyle w:val="Paragraphe"/>
        <w:spacing w:line="240" w:lineRule="auto"/>
        <w:rPr>
          <w:rFonts w:cs="Arial"/>
          <w:szCs w:val="24"/>
        </w:rPr>
      </w:pPr>
      <w:r>
        <w:rPr>
          <w:rFonts w:cs="Arial"/>
          <w:szCs w:val="24"/>
        </w:rPr>
        <w:t>D</w:t>
      </w:r>
      <w:r w:rsidRPr="00377607">
        <w:rPr>
          <w:rFonts w:cs="Arial"/>
          <w:szCs w:val="24"/>
        </w:rPr>
        <w:t>ans ses observations sur la</w:t>
      </w:r>
      <w:r>
        <w:rPr>
          <w:rFonts w:cs="Arial"/>
          <w:szCs w:val="24"/>
        </w:rPr>
        <w:t xml:space="preserve"> détermination d’une</w:t>
      </w:r>
      <w:r w:rsidRPr="00377607">
        <w:rPr>
          <w:rFonts w:cs="Arial"/>
          <w:szCs w:val="24"/>
        </w:rPr>
        <w:t xml:space="preserve"> peine </w:t>
      </w:r>
      <w:r>
        <w:rPr>
          <w:rFonts w:cs="Arial"/>
          <w:szCs w:val="24"/>
        </w:rPr>
        <w:t>proportionné</w:t>
      </w:r>
      <w:r w:rsidRPr="00377607">
        <w:rPr>
          <w:rFonts w:cs="Arial"/>
          <w:szCs w:val="24"/>
        </w:rPr>
        <w:t>e, la juge constate l</w:t>
      </w:r>
      <w:r>
        <w:rPr>
          <w:rFonts w:cs="Arial"/>
          <w:szCs w:val="24"/>
        </w:rPr>
        <w:t>’</w:t>
      </w:r>
      <w:r w:rsidRPr="00377607">
        <w:rPr>
          <w:rFonts w:cs="Arial"/>
          <w:szCs w:val="24"/>
        </w:rPr>
        <w:t>évolution du droit canadien vers des sanctions plus sévères en cas d</w:t>
      </w:r>
      <w:r>
        <w:rPr>
          <w:rFonts w:cs="Arial"/>
          <w:szCs w:val="24"/>
        </w:rPr>
        <w:t>’</w:t>
      </w:r>
      <w:r w:rsidRPr="00377607">
        <w:rPr>
          <w:rFonts w:cs="Arial"/>
          <w:szCs w:val="24"/>
        </w:rPr>
        <w:t>infractions d</w:t>
      </w:r>
      <w:r>
        <w:rPr>
          <w:rFonts w:cs="Arial"/>
          <w:szCs w:val="24"/>
        </w:rPr>
        <w:t>’</w:t>
      </w:r>
      <w:r w:rsidRPr="00377607">
        <w:rPr>
          <w:rFonts w:cs="Arial"/>
          <w:szCs w:val="24"/>
        </w:rPr>
        <w:t>ordre sexuel contre des enfants et note l</w:t>
      </w:r>
      <w:r>
        <w:rPr>
          <w:rFonts w:cs="Arial"/>
          <w:szCs w:val="24"/>
        </w:rPr>
        <w:t>’</w:t>
      </w:r>
      <w:r w:rsidRPr="00377607">
        <w:rPr>
          <w:rFonts w:cs="Arial"/>
          <w:szCs w:val="24"/>
        </w:rPr>
        <w:t>importance à accorder aux objectifs de dénonciation et de dissuasion. Elle mentionne toutefois que ces fonctions punitives de la détermination d</w:t>
      </w:r>
      <w:r>
        <w:rPr>
          <w:rFonts w:cs="Arial"/>
          <w:szCs w:val="24"/>
        </w:rPr>
        <w:t>’</w:t>
      </w:r>
      <w:r w:rsidRPr="00377607">
        <w:rPr>
          <w:rFonts w:cs="Arial"/>
          <w:szCs w:val="24"/>
        </w:rPr>
        <w:t>une peine proportionnée n</w:t>
      </w:r>
      <w:r>
        <w:rPr>
          <w:rFonts w:cs="Arial"/>
          <w:szCs w:val="24"/>
        </w:rPr>
        <w:t>’</w:t>
      </w:r>
      <w:r w:rsidRPr="00377607">
        <w:rPr>
          <w:rFonts w:cs="Arial"/>
          <w:szCs w:val="24"/>
        </w:rPr>
        <w:t>excluent pas la considération d</w:t>
      </w:r>
      <w:r>
        <w:rPr>
          <w:rFonts w:cs="Arial"/>
          <w:szCs w:val="24"/>
        </w:rPr>
        <w:t>’</w:t>
      </w:r>
      <w:r w:rsidRPr="00377607">
        <w:rPr>
          <w:rFonts w:cs="Arial"/>
          <w:szCs w:val="24"/>
        </w:rPr>
        <w:t xml:space="preserve">autres objectifs pénologiques, </w:t>
      </w:r>
      <w:r>
        <w:rPr>
          <w:rFonts w:cs="Arial"/>
          <w:szCs w:val="24"/>
        </w:rPr>
        <w:t>notamment l’obligation de faire preuve de retenue</w:t>
      </w:r>
      <w:r w:rsidRPr="00377607">
        <w:rPr>
          <w:rFonts w:cs="Arial"/>
          <w:szCs w:val="24"/>
        </w:rPr>
        <w:t xml:space="preserve"> et les objectifs de justice corrective comme la réhabilitation et la réinsertion dans la société. </w:t>
      </w:r>
    </w:p>
    <w:p w14:paraId="017274D9" w14:textId="77777777" w:rsidR="005C67B6" w:rsidRPr="00745CB7" w:rsidRDefault="005C67B6" w:rsidP="005C67B6">
      <w:pPr>
        <w:pStyle w:val="Paragraphe"/>
        <w:spacing w:line="240" w:lineRule="auto"/>
        <w:rPr>
          <w:rFonts w:cs="Arial"/>
          <w:szCs w:val="24"/>
        </w:rPr>
      </w:pPr>
      <w:r w:rsidRPr="00377607">
        <w:rPr>
          <w:rFonts w:cs="Arial"/>
          <w:szCs w:val="24"/>
        </w:rPr>
        <w:t>La juge indique que la gravité objective et subjective des infractions en l</w:t>
      </w:r>
      <w:r>
        <w:rPr>
          <w:rFonts w:cs="Arial"/>
          <w:szCs w:val="24"/>
        </w:rPr>
        <w:t>’</w:t>
      </w:r>
      <w:r w:rsidRPr="00377607">
        <w:rPr>
          <w:rFonts w:cs="Arial"/>
          <w:szCs w:val="24"/>
        </w:rPr>
        <w:t>espèce justifie une peine d</w:t>
      </w:r>
      <w:r>
        <w:rPr>
          <w:rFonts w:cs="Arial"/>
          <w:szCs w:val="24"/>
        </w:rPr>
        <w:t>’</w:t>
      </w:r>
      <w:r w:rsidRPr="00377607">
        <w:rPr>
          <w:rFonts w:cs="Arial"/>
          <w:szCs w:val="24"/>
        </w:rPr>
        <w:t>emprisonnement</w:t>
      </w:r>
      <w:r>
        <w:rPr>
          <w:rStyle w:val="Appelnotedebasdep"/>
          <w:rFonts w:cs="Arial"/>
          <w:szCs w:val="24"/>
        </w:rPr>
        <w:footnoteReference w:id="47"/>
      </w:r>
      <w:r w:rsidRPr="00377607">
        <w:rPr>
          <w:rFonts w:cs="Arial"/>
          <w:szCs w:val="24"/>
        </w:rPr>
        <w:t>, mais répète qu</w:t>
      </w:r>
      <w:r>
        <w:rPr>
          <w:rFonts w:cs="Arial"/>
          <w:szCs w:val="24"/>
        </w:rPr>
        <w:t>’</w:t>
      </w:r>
      <w:r w:rsidRPr="00377607">
        <w:rPr>
          <w:rFonts w:cs="Arial"/>
          <w:szCs w:val="24"/>
        </w:rPr>
        <w:t xml:space="preserve">une peine individualisée doit aussi prendre en compte </w:t>
      </w:r>
      <w:r>
        <w:rPr>
          <w:rFonts w:cs="Arial"/>
          <w:szCs w:val="24"/>
        </w:rPr>
        <w:t>d’</w:t>
      </w:r>
      <w:r w:rsidRPr="00377607">
        <w:rPr>
          <w:rFonts w:cs="Arial"/>
          <w:szCs w:val="24"/>
        </w:rPr>
        <w:t xml:space="preserve">autres objectifs. </w:t>
      </w:r>
    </w:p>
    <w:p w14:paraId="1EF94EC0" w14:textId="77777777" w:rsidR="005C67B6" w:rsidRPr="00500CC5" w:rsidRDefault="005C67B6" w:rsidP="005C67B6">
      <w:pPr>
        <w:pStyle w:val="Paragraphe"/>
        <w:numPr>
          <w:ilvl w:val="0"/>
          <w:numId w:val="0"/>
        </w:numPr>
        <w:spacing w:line="240" w:lineRule="auto"/>
        <w:ind w:left="720" w:right="720"/>
        <w:rPr>
          <w:rFonts w:cs="Arial"/>
          <w:sz w:val="22"/>
          <w:szCs w:val="22"/>
        </w:rPr>
      </w:pPr>
      <w:r w:rsidRPr="00500CC5">
        <w:rPr>
          <w:rFonts w:cs="Arial"/>
          <w:sz w:val="22"/>
          <w:szCs w:val="22"/>
        </w:rPr>
        <w:t>[80]</w:t>
      </w:r>
      <w:r w:rsidRPr="00500CC5">
        <w:rPr>
          <w:rFonts w:cs="Arial"/>
          <w:sz w:val="22"/>
          <w:szCs w:val="22"/>
        </w:rPr>
        <w:tab/>
        <w:t xml:space="preserve">Les articles 718 à 718.2 du </w:t>
      </w:r>
      <w:r w:rsidRPr="00500CC5">
        <w:rPr>
          <w:rFonts w:cs="Arial"/>
          <w:i/>
          <w:iCs/>
          <w:sz w:val="22"/>
          <w:szCs w:val="22"/>
        </w:rPr>
        <w:t>Code criminel</w:t>
      </w:r>
      <w:r w:rsidRPr="00500CC5">
        <w:rPr>
          <w:rFonts w:cs="Arial"/>
          <w:sz w:val="22"/>
          <w:szCs w:val="22"/>
        </w:rPr>
        <w:t xml:space="preserve"> confèrent aux juges un large pouvoir discrétionnaire leur permettant de façonner une peine adaptée à la nature de l’infraction et à la situation du délinquant. Le prononcé d’une peine « juste » reste un processus individualisé, qui oblige le juge à soupeser les objectifs de détermination de la peine pour tenir compte des circonstances de l’affaire. Le juge détermine s’il faut accorder plus de poids à un ou plusieurs objectifs, compte tenu des faits de l’espèce. La peine est par la suite ajustée à la hausse ou à la baisse, dans la fourchette des peines pour des infractions similaires, selon l’importance relative des circonstances atténuantes ou aggravantes. </w:t>
      </w:r>
    </w:p>
    <w:p w14:paraId="5D4ECBC7" w14:textId="77777777" w:rsidR="005C67B6" w:rsidRPr="00500CC5" w:rsidRDefault="005C67B6" w:rsidP="005C67B6">
      <w:pPr>
        <w:pStyle w:val="Paragraphe"/>
        <w:numPr>
          <w:ilvl w:val="0"/>
          <w:numId w:val="0"/>
        </w:numPr>
        <w:spacing w:line="240" w:lineRule="auto"/>
        <w:ind w:left="720" w:right="720"/>
        <w:rPr>
          <w:rFonts w:cs="Arial"/>
          <w:sz w:val="22"/>
          <w:szCs w:val="22"/>
        </w:rPr>
      </w:pPr>
      <w:r w:rsidRPr="00500CC5">
        <w:rPr>
          <w:rFonts w:cs="Arial"/>
          <w:sz w:val="22"/>
          <w:szCs w:val="22"/>
        </w:rPr>
        <w:t>[81]</w:t>
      </w:r>
      <w:r w:rsidRPr="00500CC5">
        <w:rPr>
          <w:rFonts w:cs="Arial"/>
          <w:sz w:val="22"/>
          <w:szCs w:val="22"/>
        </w:rPr>
        <w:tab/>
        <w:t>Le profil de l’accusée était exemplaire jusqu’aux crimes commis. Le témoignage de sa fille, le sien et les rapports permettent au Tribunal de constater qu’elle occupe son temps auprès de sa famille et s’implique avec dévouement auprès de personnes démunies. Il ne fait aucun doute qu’au cours de l’année en cause, elle a vécu des souffrances physiques et psychologiques. Ceci ne justifie pas ses comportements, mais explique le contexte dans lequel elle se trouvait.</w:t>
      </w:r>
    </w:p>
    <w:p w14:paraId="32EC8732" w14:textId="77777777" w:rsidR="005C67B6" w:rsidRPr="00500CC5" w:rsidRDefault="005C67B6" w:rsidP="005C67B6">
      <w:pPr>
        <w:pStyle w:val="Paragraphe"/>
        <w:numPr>
          <w:ilvl w:val="0"/>
          <w:numId w:val="0"/>
        </w:numPr>
        <w:spacing w:line="240" w:lineRule="auto"/>
        <w:ind w:left="720" w:right="720"/>
        <w:rPr>
          <w:rFonts w:cs="Arial"/>
          <w:sz w:val="22"/>
          <w:szCs w:val="22"/>
        </w:rPr>
      </w:pPr>
      <w:r w:rsidRPr="00500CC5">
        <w:rPr>
          <w:rFonts w:cs="Arial"/>
          <w:sz w:val="22"/>
          <w:szCs w:val="22"/>
        </w:rPr>
        <w:t>[82]</w:t>
      </w:r>
      <w:r w:rsidRPr="00500CC5">
        <w:rPr>
          <w:rFonts w:cs="Arial"/>
          <w:sz w:val="22"/>
          <w:szCs w:val="22"/>
        </w:rPr>
        <w:tab/>
        <w:t>Sa responsabilité criminelle est diminuée par le fait qu’il s’agisse d’un épisode limité dont la durée est circonscrite entre le 20 et 28 mai 2019. Elle est, par ailleurs, augmentée par ses recherches afin de trouver des images et de les partager. À cet égard, l’accusée refuse d’admettre la réelle source d’approvisionnement des images. Il est invraisemblable qu’elles aient été trouvées aussi facilement qu’elle le prétend.</w:t>
      </w:r>
    </w:p>
    <w:p w14:paraId="370B488E" w14:textId="77777777" w:rsidR="005C67B6" w:rsidRPr="00745CB7" w:rsidRDefault="005C67B6" w:rsidP="005C67B6">
      <w:pPr>
        <w:pStyle w:val="Paragraphe"/>
        <w:spacing w:line="240" w:lineRule="auto"/>
        <w:rPr>
          <w:rFonts w:cs="Arial"/>
          <w:szCs w:val="24"/>
        </w:rPr>
      </w:pPr>
      <w:r w:rsidRPr="00377607">
        <w:rPr>
          <w:rFonts w:cs="Arial"/>
          <w:szCs w:val="24"/>
        </w:rPr>
        <w:t xml:space="preserve">Elle énumère les facteurs pertinents : </w:t>
      </w:r>
    </w:p>
    <w:p w14:paraId="46EB3CB0" w14:textId="77777777" w:rsidR="005C67B6" w:rsidRPr="00500CC5" w:rsidRDefault="005C67B6" w:rsidP="005C67B6">
      <w:pPr>
        <w:pStyle w:val="Paragraphe"/>
        <w:numPr>
          <w:ilvl w:val="0"/>
          <w:numId w:val="0"/>
        </w:numPr>
        <w:spacing w:line="240" w:lineRule="auto"/>
        <w:ind w:left="731"/>
        <w:rPr>
          <w:rFonts w:cs="Arial"/>
          <w:sz w:val="22"/>
          <w:szCs w:val="22"/>
        </w:rPr>
      </w:pPr>
      <w:r w:rsidRPr="00500CC5">
        <w:rPr>
          <w:rFonts w:cs="Arial"/>
          <w:sz w:val="22"/>
          <w:szCs w:val="22"/>
        </w:rPr>
        <w:t>[83]</w:t>
      </w:r>
      <w:r w:rsidRPr="00500CC5">
        <w:rPr>
          <w:rFonts w:cs="Arial"/>
          <w:sz w:val="22"/>
          <w:szCs w:val="22"/>
        </w:rPr>
        <w:tab/>
        <w:t>Le Tribunal retient les facteurs atténuants et aggravants suivants :</w:t>
      </w:r>
    </w:p>
    <w:p w14:paraId="49840241" w14:textId="77777777" w:rsidR="005C67B6" w:rsidRPr="00500CC5" w:rsidRDefault="005C67B6" w:rsidP="005C67B6">
      <w:pPr>
        <w:pStyle w:val="Paragraphe"/>
        <w:numPr>
          <w:ilvl w:val="0"/>
          <w:numId w:val="0"/>
        </w:numPr>
        <w:spacing w:before="100" w:after="100" w:line="240" w:lineRule="auto"/>
        <w:ind w:left="731"/>
        <w:rPr>
          <w:rFonts w:cs="Arial"/>
          <w:sz w:val="22"/>
          <w:szCs w:val="22"/>
          <w:u w:val="single"/>
        </w:rPr>
      </w:pPr>
      <w:r w:rsidRPr="00500CC5">
        <w:rPr>
          <w:rFonts w:cs="Arial"/>
          <w:sz w:val="22"/>
          <w:szCs w:val="22"/>
          <w:u w:val="single"/>
        </w:rPr>
        <w:t>Atténuants :</w:t>
      </w:r>
    </w:p>
    <w:p w14:paraId="68575B0A" w14:textId="77777777" w:rsidR="005C67B6" w:rsidRPr="00500CC5" w:rsidRDefault="005C67B6" w:rsidP="005C67B6">
      <w:pPr>
        <w:pStyle w:val="Paragraphe"/>
        <w:numPr>
          <w:ilvl w:val="0"/>
          <w:numId w:val="22"/>
        </w:numPr>
        <w:spacing w:before="100" w:after="100" w:line="240" w:lineRule="auto"/>
        <w:rPr>
          <w:rFonts w:cs="Arial"/>
          <w:sz w:val="22"/>
          <w:szCs w:val="22"/>
        </w:rPr>
      </w:pPr>
      <w:r w:rsidRPr="00500CC5">
        <w:rPr>
          <w:rFonts w:cs="Arial"/>
          <w:sz w:val="22"/>
          <w:szCs w:val="22"/>
        </w:rPr>
        <w:t>La collaboration à l’enquête;</w:t>
      </w:r>
    </w:p>
    <w:p w14:paraId="7A4C9041" w14:textId="77777777" w:rsidR="005C67B6" w:rsidRPr="00500CC5" w:rsidRDefault="005C67B6" w:rsidP="005C67B6">
      <w:pPr>
        <w:pStyle w:val="Paragraphe"/>
        <w:numPr>
          <w:ilvl w:val="0"/>
          <w:numId w:val="22"/>
        </w:numPr>
        <w:spacing w:before="100" w:after="100" w:line="240" w:lineRule="auto"/>
        <w:rPr>
          <w:rFonts w:cs="Arial"/>
          <w:sz w:val="22"/>
          <w:szCs w:val="22"/>
        </w:rPr>
      </w:pPr>
      <w:r w:rsidRPr="00500CC5">
        <w:rPr>
          <w:rFonts w:cs="Arial"/>
          <w:sz w:val="22"/>
          <w:szCs w:val="22"/>
        </w:rPr>
        <w:t>Le plaidoyer de culpabilité. La procureure du poursuivant fait valoir qu’il est tardif. Le Tribunal ne peut lui imputer d’avoir débuté le procès, son avocate l’ayant peut-être conseillée en ce sens;</w:t>
      </w:r>
    </w:p>
    <w:p w14:paraId="664716F4" w14:textId="77777777" w:rsidR="005C67B6" w:rsidRPr="00500CC5" w:rsidRDefault="005C67B6" w:rsidP="005C67B6">
      <w:pPr>
        <w:pStyle w:val="Paragraphe"/>
        <w:numPr>
          <w:ilvl w:val="0"/>
          <w:numId w:val="22"/>
        </w:numPr>
        <w:spacing w:before="100" w:after="100" w:line="240" w:lineRule="auto"/>
        <w:rPr>
          <w:rFonts w:cs="Arial"/>
          <w:sz w:val="22"/>
          <w:szCs w:val="22"/>
        </w:rPr>
      </w:pPr>
      <w:r w:rsidRPr="00500CC5">
        <w:rPr>
          <w:rFonts w:cs="Arial"/>
          <w:sz w:val="22"/>
          <w:szCs w:val="22"/>
        </w:rPr>
        <w:t>Elle n’a pas de passé criminel;</w:t>
      </w:r>
    </w:p>
    <w:p w14:paraId="50488CE5" w14:textId="77777777" w:rsidR="005C67B6" w:rsidRPr="00500CC5" w:rsidRDefault="005C67B6" w:rsidP="005C67B6">
      <w:pPr>
        <w:pStyle w:val="Paragraphe"/>
        <w:numPr>
          <w:ilvl w:val="0"/>
          <w:numId w:val="22"/>
        </w:numPr>
        <w:spacing w:before="100" w:after="100" w:line="240" w:lineRule="auto"/>
        <w:rPr>
          <w:rFonts w:cs="Arial"/>
          <w:sz w:val="22"/>
          <w:szCs w:val="22"/>
        </w:rPr>
      </w:pPr>
      <w:r w:rsidRPr="00500CC5">
        <w:rPr>
          <w:rFonts w:cs="Arial"/>
          <w:sz w:val="22"/>
          <w:szCs w:val="22"/>
        </w:rPr>
        <w:t>Elle exprime des regrets sincères, elle est sensibilisée et conscientisée aux torts que sa criminalité engendre;</w:t>
      </w:r>
    </w:p>
    <w:p w14:paraId="0A520982" w14:textId="77777777" w:rsidR="005C67B6" w:rsidRPr="00500CC5" w:rsidRDefault="005C67B6" w:rsidP="005C67B6">
      <w:pPr>
        <w:pStyle w:val="Paragraphe"/>
        <w:numPr>
          <w:ilvl w:val="0"/>
          <w:numId w:val="22"/>
        </w:numPr>
        <w:spacing w:before="100" w:after="100" w:line="240" w:lineRule="auto"/>
        <w:rPr>
          <w:rFonts w:cs="Arial"/>
          <w:sz w:val="22"/>
          <w:szCs w:val="22"/>
        </w:rPr>
      </w:pPr>
      <w:r w:rsidRPr="00500CC5">
        <w:rPr>
          <w:rFonts w:cs="Arial"/>
          <w:sz w:val="22"/>
          <w:szCs w:val="22"/>
        </w:rPr>
        <w:t>Elle a fourni la preuve à ses proches et vécu l’humiliation qu’ils lisent ses propos;</w:t>
      </w:r>
    </w:p>
    <w:p w14:paraId="08436B50" w14:textId="77777777" w:rsidR="005C67B6" w:rsidRPr="00500CC5" w:rsidRDefault="005C67B6" w:rsidP="005C67B6">
      <w:pPr>
        <w:pStyle w:val="Paragraphe"/>
        <w:numPr>
          <w:ilvl w:val="0"/>
          <w:numId w:val="22"/>
        </w:numPr>
        <w:spacing w:before="100" w:after="100" w:line="240" w:lineRule="auto"/>
        <w:rPr>
          <w:rFonts w:cs="Arial"/>
          <w:sz w:val="22"/>
          <w:szCs w:val="22"/>
        </w:rPr>
      </w:pPr>
      <w:r w:rsidRPr="00500CC5">
        <w:rPr>
          <w:rFonts w:cs="Arial"/>
          <w:sz w:val="22"/>
          <w:szCs w:val="22"/>
        </w:rPr>
        <w:t>Depuis son arrestation elle respecte des conditions qui limitent grandement sa liberté;</w:t>
      </w:r>
    </w:p>
    <w:p w14:paraId="1D78A08D" w14:textId="77777777" w:rsidR="005C67B6" w:rsidRPr="00500CC5" w:rsidRDefault="005C67B6" w:rsidP="005C67B6">
      <w:pPr>
        <w:pStyle w:val="Paragraphe"/>
        <w:numPr>
          <w:ilvl w:val="0"/>
          <w:numId w:val="22"/>
        </w:numPr>
        <w:spacing w:before="100" w:after="100" w:line="240" w:lineRule="auto"/>
        <w:rPr>
          <w:rFonts w:cs="Arial"/>
          <w:sz w:val="22"/>
          <w:szCs w:val="22"/>
        </w:rPr>
      </w:pPr>
      <w:r w:rsidRPr="00500CC5">
        <w:rPr>
          <w:rFonts w:cs="Arial"/>
          <w:sz w:val="22"/>
          <w:szCs w:val="22"/>
        </w:rPr>
        <w:t>Elle s’est investie de façon sérieuse et constante dans une thérapie de 21 séances et maintient avec la psychologue des contacts au besoin;</w:t>
      </w:r>
    </w:p>
    <w:p w14:paraId="37B3F573" w14:textId="77777777" w:rsidR="005C67B6" w:rsidRPr="00500CC5" w:rsidRDefault="005C67B6" w:rsidP="005C67B6">
      <w:pPr>
        <w:pStyle w:val="Paragraphe"/>
        <w:numPr>
          <w:ilvl w:val="0"/>
          <w:numId w:val="22"/>
        </w:numPr>
        <w:spacing w:before="100" w:after="100" w:line="240" w:lineRule="auto"/>
        <w:rPr>
          <w:rFonts w:cs="Arial"/>
          <w:sz w:val="22"/>
          <w:szCs w:val="22"/>
        </w:rPr>
      </w:pPr>
      <w:r w:rsidRPr="00500CC5">
        <w:rPr>
          <w:rFonts w:cs="Arial"/>
          <w:sz w:val="22"/>
          <w:szCs w:val="22"/>
        </w:rPr>
        <w:t>Le risque de récidive est faible même absent;</w:t>
      </w:r>
    </w:p>
    <w:p w14:paraId="0DDC0769" w14:textId="77777777" w:rsidR="005C67B6" w:rsidRPr="00500CC5" w:rsidRDefault="005C67B6" w:rsidP="005C67B6">
      <w:pPr>
        <w:pStyle w:val="Paragraphe"/>
        <w:numPr>
          <w:ilvl w:val="0"/>
          <w:numId w:val="22"/>
        </w:numPr>
        <w:spacing w:before="100" w:after="100" w:line="240" w:lineRule="auto"/>
        <w:rPr>
          <w:rFonts w:cs="Arial"/>
          <w:sz w:val="22"/>
          <w:szCs w:val="22"/>
        </w:rPr>
      </w:pPr>
      <w:r w:rsidRPr="00500CC5">
        <w:rPr>
          <w:rFonts w:cs="Arial"/>
          <w:sz w:val="22"/>
          <w:szCs w:val="22"/>
        </w:rPr>
        <w:t>Elle est un acquis pour la société.</w:t>
      </w:r>
    </w:p>
    <w:p w14:paraId="4D14F753" w14:textId="77777777" w:rsidR="005C67B6" w:rsidRPr="00500CC5" w:rsidRDefault="005C67B6" w:rsidP="005C67B6">
      <w:pPr>
        <w:pStyle w:val="Paragraphe"/>
        <w:numPr>
          <w:ilvl w:val="0"/>
          <w:numId w:val="0"/>
        </w:numPr>
        <w:spacing w:before="100" w:after="100" w:line="240" w:lineRule="auto"/>
        <w:ind w:left="731"/>
        <w:rPr>
          <w:rFonts w:cs="Arial"/>
          <w:sz w:val="22"/>
          <w:szCs w:val="22"/>
          <w:u w:val="single"/>
        </w:rPr>
      </w:pPr>
      <w:r w:rsidRPr="00500CC5">
        <w:rPr>
          <w:rFonts w:cs="Arial"/>
          <w:sz w:val="22"/>
          <w:szCs w:val="22"/>
          <w:u w:val="single"/>
        </w:rPr>
        <w:t>Aggravants :</w:t>
      </w:r>
    </w:p>
    <w:p w14:paraId="3860FD20" w14:textId="77777777" w:rsidR="005C67B6" w:rsidRPr="00500CC5" w:rsidRDefault="005C67B6" w:rsidP="005C67B6">
      <w:pPr>
        <w:pStyle w:val="Paragraphe"/>
        <w:numPr>
          <w:ilvl w:val="0"/>
          <w:numId w:val="23"/>
        </w:numPr>
        <w:spacing w:before="100" w:after="100" w:line="240" w:lineRule="auto"/>
        <w:rPr>
          <w:rFonts w:cs="Arial"/>
          <w:sz w:val="22"/>
          <w:szCs w:val="22"/>
        </w:rPr>
      </w:pPr>
      <w:r w:rsidRPr="00500CC5">
        <w:rPr>
          <w:rFonts w:cs="Arial"/>
          <w:sz w:val="22"/>
          <w:szCs w:val="22"/>
        </w:rPr>
        <w:t>Elle a conservé les photos dans son téléphone jusqu’à son arrestation;</w:t>
      </w:r>
    </w:p>
    <w:p w14:paraId="7BDB8385" w14:textId="77777777" w:rsidR="005C67B6" w:rsidRPr="00500CC5" w:rsidRDefault="005C67B6" w:rsidP="005C67B6">
      <w:pPr>
        <w:pStyle w:val="Paragraphe"/>
        <w:numPr>
          <w:ilvl w:val="0"/>
          <w:numId w:val="23"/>
        </w:numPr>
        <w:spacing w:line="240" w:lineRule="auto"/>
        <w:rPr>
          <w:rFonts w:cs="Arial"/>
          <w:sz w:val="22"/>
          <w:szCs w:val="22"/>
        </w:rPr>
      </w:pPr>
      <w:r w:rsidRPr="00500CC5">
        <w:rPr>
          <w:rFonts w:cs="Arial"/>
          <w:sz w:val="22"/>
          <w:szCs w:val="22"/>
        </w:rPr>
        <w:t>Elle minimise le plaisir sexuel lors de ses échanges et ment sur la façon qu’elle a obtenu les photos.</w:t>
      </w:r>
    </w:p>
    <w:p w14:paraId="2F518FC9" w14:textId="77777777" w:rsidR="005C67B6" w:rsidRPr="00745CB7" w:rsidRDefault="005C67B6" w:rsidP="005C67B6">
      <w:pPr>
        <w:pStyle w:val="Paragraphe"/>
        <w:spacing w:before="240" w:line="240" w:lineRule="auto"/>
        <w:rPr>
          <w:rFonts w:cs="Arial"/>
          <w:szCs w:val="24"/>
        </w:rPr>
      </w:pPr>
      <w:r w:rsidRPr="00377607">
        <w:rPr>
          <w:rFonts w:cs="Arial"/>
          <w:szCs w:val="24"/>
        </w:rPr>
        <w:t>En ce qui concerne le principe de la parité, la juge inclut dans ses motifs un tableau de peines prononcées pour des infractions liées à la pédopornographie</w:t>
      </w:r>
      <w:r>
        <w:rPr>
          <w:rStyle w:val="Appelnotedebasdep"/>
          <w:rFonts w:cs="Arial"/>
          <w:szCs w:val="24"/>
        </w:rPr>
        <w:footnoteReference w:id="48"/>
      </w:r>
      <w:r w:rsidRPr="00377607">
        <w:rPr>
          <w:rFonts w:cs="Arial"/>
          <w:szCs w:val="24"/>
        </w:rPr>
        <w:t xml:space="preserve">, </w:t>
      </w:r>
      <w:r>
        <w:rPr>
          <w:rFonts w:cs="Arial"/>
          <w:szCs w:val="24"/>
        </w:rPr>
        <w:t>quoique</w:t>
      </w:r>
      <w:r w:rsidRPr="00377607">
        <w:rPr>
          <w:rFonts w:cs="Arial"/>
          <w:szCs w:val="24"/>
        </w:rPr>
        <w:t xml:space="preserve"> l</w:t>
      </w:r>
      <w:r>
        <w:rPr>
          <w:rFonts w:cs="Arial"/>
          <w:szCs w:val="24"/>
        </w:rPr>
        <w:t>’</w:t>
      </w:r>
      <w:r w:rsidRPr="00377607">
        <w:rPr>
          <w:rFonts w:cs="Arial"/>
          <w:szCs w:val="24"/>
        </w:rPr>
        <w:t>utilité de ce tableau se trouve diminuée par le fait qu</w:t>
      </w:r>
      <w:r>
        <w:rPr>
          <w:rFonts w:cs="Arial"/>
          <w:szCs w:val="24"/>
        </w:rPr>
        <w:t>’</w:t>
      </w:r>
      <w:r w:rsidRPr="00377607">
        <w:rPr>
          <w:rFonts w:cs="Arial"/>
          <w:szCs w:val="24"/>
        </w:rPr>
        <w:t>il contient de nombreux exemples de peines prononcées avant l</w:t>
      </w:r>
      <w:r>
        <w:rPr>
          <w:rFonts w:cs="Arial"/>
          <w:szCs w:val="24"/>
        </w:rPr>
        <w:t>’</w:t>
      </w:r>
      <w:r w:rsidRPr="00377607">
        <w:rPr>
          <w:rFonts w:cs="Arial"/>
          <w:szCs w:val="24"/>
        </w:rPr>
        <w:t xml:space="preserve">arrêt </w:t>
      </w:r>
      <w:r w:rsidRPr="00377607">
        <w:rPr>
          <w:rFonts w:cs="Arial"/>
          <w:i/>
          <w:iCs/>
          <w:szCs w:val="24"/>
        </w:rPr>
        <w:t>Friesen</w:t>
      </w:r>
      <w:r w:rsidRPr="00377607">
        <w:rPr>
          <w:rFonts w:cs="Arial"/>
          <w:szCs w:val="24"/>
        </w:rPr>
        <w:t xml:space="preserve"> et ne fait pas la distinction entre les peines infligées pour possession, production ou distribution. De plus, la juge renvoie à un ouvrage de doctrine qui propose différentes fourchettes pour </w:t>
      </w:r>
      <w:r>
        <w:rPr>
          <w:rFonts w:cs="Arial"/>
          <w:szCs w:val="24"/>
        </w:rPr>
        <w:t xml:space="preserve">des </w:t>
      </w:r>
      <w:r w:rsidRPr="00377607">
        <w:rPr>
          <w:rFonts w:cs="Arial"/>
          <w:szCs w:val="24"/>
        </w:rPr>
        <w:t>infraction</w:t>
      </w:r>
      <w:r>
        <w:rPr>
          <w:rFonts w:cs="Arial"/>
          <w:szCs w:val="24"/>
        </w:rPr>
        <w:t>s</w:t>
      </w:r>
      <w:r w:rsidRPr="00377607">
        <w:rPr>
          <w:rFonts w:cs="Arial"/>
          <w:szCs w:val="24"/>
        </w:rPr>
        <w:t xml:space="preserve"> de possession, lesquelles ont peu d</w:t>
      </w:r>
      <w:r>
        <w:rPr>
          <w:rFonts w:cs="Arial"/>
          <w:szCs w:val="24"/>
        </w:rPr>
        <w:t>’</w:t>
      </w:r>
      <w:r w:rsidRPr="00377607">
        <w:rPr>
          <w:rFonts w:cs="Arial"/>
          <w:szCs w:val="24"/>
        </w:rPr>
        <w:t xml:space="preserve">utilité pour celles de production et de distribution. </w:t>
      </w:r>
    </w:p>
    <w:p w14:paraId="6705DF45" w14:textId="77777777" w:rsidR="005C67B6" w:rsidRPr="006606E5" w:rsidRDefault="005C67B6" w:rsidP="005C67B6">
      <w:pPr>
        <w:pStyle w:val="Paragraphe"/>
        <w:spacing w:line="240" w:lineRule="auto"/>
        <w:rPr>
          <w:rFonts w:cs="Arial"/>
          <w:szCs w:val="24"/>
        </w:rPr>
      </w:pPr>
      <w:r w:rsidRPr="00377607">
        <w:rPr>
          <w:rFonts w:cs="Arial"/>
          <w:szCs w:val="24"/>
        </w:rPr>
        <w:t>Comme je l</w:t>
      </w:r>
      <w:r>
        <w:rPr>
          <w:rFonts w:cs="Arial"/>
          <w:szCs w:val="24"/>
        </w:rPr>
        <w:t>’</w:t>
      </w:r>
      <w:r w:rsidRPr="00377607">
        <w:rPr>
          <w:rFonts w:cs="Arial"/>
          <w:szCs w:val="24"/>
        </w:rPr>
        <w:t xml:space="preserve">ai mentionné, la juge affirme sans détour que le droit canadien insiste </w:t>
      </w:r>
      <w:r>
        <w:rPr>
          <w:rFonts w:cs="Arial"/>
          <w:szCs w:val="24"/>
        </w:rPr>
        <w:t xml:space="preserve">fermement et de plus en plus </w:t>
      </w:r>
      <w:r w:rsidRPr="00377607">
        <w:rPr>
          <w:rFonts w:cs="Arial"/>
          <w:szCs w:val="24"/>
        </w:rPr>
        <w:t>sur l</w:t>
      </w:r>
      <w:r>
        <w:rPr>
          <w:rFonts w:cs="Arial"/>
          <w:szCs w:val="24"/>
        </w:rPr>
        <w:t>’</w:t>
      </w:r>
      <w:r w:rsidRPr="00377607">
        <w:rPr>
          <w:rFonts w:cs="Arial"/>
          <w:szCs w:val="24"/>
        </w:rPr>
        <w:t>importance d</w:t>
      </w:r>
      <w:r>
        <w:rPr>
          <w:rFonts w:cs="Arial"/>
          <w:szCs w:val="24"/>
        </w:rPr>
        <w:t>’</w:t>
      </w:r>
      <w:r w:rsidRPr="00377607">
        <w:rPr>
          <w:rFonts w:cs="Arial"/>
          <w:szCs w:val="24"/>
        </w:rPr>
        <w:t xml:space="preserve">ordonner des peines punitives </w:t>
      </w:r>
      <w:r>
        <w:rPr>
          <w:rFonts w:cs="Arial"/>
          <w:szCs w:val="24"/>
        </w:rPr>
        <w:t>lourde</w:t>
      </w:r>
      <w:r w:rsidRPr="00377607">
        <w:rPr>
          <w:rFonts w:cs="Arial"/>
          <w:szCs w:val="24"/>
        </w:rPr>
        <w:t xml:space="preserve">s qui soulignent les objectifs de dénonciation et de dissuasion dans les affaires comportant </w:t>
      </w:r>
      <w:r>
        <w:rPr>
          <w:rFonts w:cs="Arial"/>
          <w:szCs w:val="24"/>
        </w:rPr>
        <w:t>une</w:t>
      </w:r>
      <w:r w:rsidRPr="00377607">
        <w:rPr>
          <w:rFonts w:cs="Arial"/>
          <w:szCs w:val="24"/>
        </w:rPr>
        <w:t xml:space="preserve"> victimisation sexuelle de mineurs. Après </w:t>
      </w:r>
      <w:r>
        <w:rPr>
          <w:rFonts w:cs="Arial"/>
          <w:szCs w:val="24"/>
        </w:rPr>
        <w:t>l’</w:t>
      </w:r>
      <w:r w:rsidRPr="00377607">
        <w:rPr>
          <w:rFonts w:cs="Arial"/>
          <w:szCs w:val="24"/>
        </w:rPr>
        <w:t>avoir souligné, elle tire deux conclusions</w:t>
      </w:r>
      <w:r>
        <w:rPr>
          <w:rFonts w:cs="Arial"/>
          <w:szCs w:val="24"/>
        </w:rPr>
        <w:t>.</w:t>
      </w:r>
      <w:r w:rsidRPr="00377607">
        <w:rPr>
          <w:rFonts w:cs="Arial"/>
          <w:szCs w:val="24"/>
        </w:rPr>
        <w:t xml:space="preserve"> Premièrement : </w:t>
      </w:r>
    </w:p>
    <w:p w14:paraId="67533E52" w14:textId="77777777" w:rsidR="005C67B6" w:rsidRPr="00500CC5" w:rsidRDefault="005C67B6" w:rsidP="005C67B6">
      <w:pPr>
        <w:pStyle w:val="Paragraphe"/>
        <w:numPr>
          <w:ilvl w:val="0"/>
          <w:numId w:val="0"/>
        </w:numPr>
        <w:spacing w:line="240" w:lineRule="auto"/>
        <w:ind w:left="720" w:right="720"/>
        <w:rPr>
          <w:rFonts w:cs="Arial"/>
          <w:sz w:val="22"/>
          <w:szCs w:val="22"/>
        </w:rPr>
      </w:pPr>
      <w:r w:rsidRPr="00500CC5">
        <w:rPr>
          <w:rFonts w:cs="Arial"/>
          <w:sz w:val="22"/>
          <w:szCs w:val="22"/>
        </w:rPr>
        <w:t>[93]</w:t>
      </w:r>
      <w:r w:rsidRPr="00500CC5">
        <w:rPr>
          <w:rFonts w:cs="Arial"/>
          <w:sz w:val="22"/>
          <w:szCs w:val="22"/>
        </w:rPr>
        <w:tab/>
        <w:t xml:space="preserve">Après avoir soupesé les différents objectifs de détermination de la peine à la lumière du principe fondamental de la proportionnalité, le Tribunal conclut qu’une peine d’emprisonnement de 90 jours serait une peine juste et appropriée. </w:t>
      </w:r>
    </w:p>
    <w:p w14:paraId="7F8AAAF9" w14:textId="77777777" w:rsidR="005C67B6" w:rsidRPr="00500CC5" w:rsidRDefault="005C67B6" w:rsidP="005C67B6">
      <w:pPr>
        <w:pStyle w:val="Paragraphe"/>
        <w:numPr>
          <w:ilvl w:val="0"/>
          <w:numId w:val="0"/>
        </w:numPr>
        <w:spacing w:line="240" w:lineRule="auto"/>
        <w:ind w:left="720" w:right="720"/>
        <w:rPr>
          <w:rFonts w:cs="Arial"/>
          <w:sz w:val="22"/>
          <w:szCs w:val="22"/>
        </w:rPr>
      </w:pPr>
      <w:r w:rsidRPr="00500CC5">
        <w:rPr>
          <w:rFonts w:cs="Arial"/>
          <w:sz w:val="22"/>
          <w:szCs w:val="22"/>
        </w:rPr>
        <w:t>[94]</w:t>
      </w:r>
      <w:r w:rsidRPr="00500CC5">
        <w:rPr>
          <w:rFonts w:cs="Arial"/>
          <w:sz w:val="22"/>
          <w:szCs w:val="22"/>
        </w:rPr>
        <w:tab/>
        <w:t xml:space="preserve">Le Tribunal considère que le processus judiciaire a eu un impact majeur sur l’accusée qui a commis des énormités dans une période limitée de sa vie. Elle est un apport pour la société et elle peut réparer les torts en effectuant des travaux communautaires. Dans le cadre de cette peine, l’accusée passera près d’un an, détenue à chaque fin de semaine et devra donner de son temps à la communauté. Ces mesures sont restrictives, engageantes et punitives, mais lui permettront de continuer à travailler pour des gens qui en ont grandement besoin. L’objectif de réinsertion prévu à l’al. 718d) du </w:t>
      </w:r>
      <w:r w:rsidRPr="00500CC5">
        <w:rPr>
          <w:rFonts w:cs="Arial"/>
          <w:i/>
          <w:iCs/>
          <w:sz w:val="22"/>
          <w:szCs w:val="22"/>
        </w:rPr>
        <w:t>Code criminel</w:t>
      </w:r>
      <w:r w:rsidRPr="00500CC5">
        <w:rPr>
          <w:rFonts w:cs="Arial"/>
          <w:sz w:val="22"/>
          <w:szCs w:val="22"/>
        </w:rPr>
        <w:t xml:space="preserve"> est donc également atteint.</w:t>
      </w:r>
    </w:p>
    <w:p w14:paraId="05CE14D6" w14:textId="77777777" w:rsidR="005C67B6" w:rsidRPr="00745CB7" w:rsidRDefault="005C67B6" w:rsidP="005C67B6">
      <w:pPr>
        <w:pStyle w:val="Paragraphe"/>
        <w:spacing w:before="240" w:line="240" w:lineRule="auto"/>
        <w:rPr>
          <w:rFonts w:cs="Arial"/>
          <w:szCs w:val="24"/>
        </w:rPr>
      </w:pPr>
      <w:r w:rsidRPr="00377607">
        <w:rPr>
          <w:rFonts w:cs="Arial"/>
          <w:szCs w:val="24"/>
        </w:rPr>
        <w:t>Cette conclusion tente de réconcilier les objectifs de dénonciation et de dissuasion avec celui de ré</w:t>
      </w:r>
      <w:r>
        <w:rPr>
          <w:rFonts w:cs="Arial"/>
          <w:szCs w:val="24"/>
        </w:rPr>
        <w:t>inserti</w:t>
      </w:r>
      <w:r w:rsidRPr="00377607">
        <w:rPr>
          <w:rFonts w:cs="Arial"/>
          <w:szCs w:val="24"/>
        </w:rPr>
        <w:t>on</w:t>
      </w:r>
      <w:r>
        <w:rPr>
          <w:rFonts w:cs="Arial"/>
          <w:szCs w:val="24"/>
        </w:rPr>
        <w:t xml:space="preserve"> sociale</w:t>
      </w:r>
      <w:r>
        <w:rPr>
          <w:rStyle w:val="Appelnotedebasdep"/>
          <w:rFonts w:cs="Arial"/>
          <w:szCs w:val="24"/>
        </w:rPr>
        <w:footnoteReference w:id="49"/>
      </w:r>
      <w:r>
        <w:rPr>
          <w:rFonts w:cs="Arial"/>
          <w:szCs w:val="24"/>
        </w:rPr>
        <w:t>.</w:t>
      </w:r>
      <w:r w:rsidRPr="00377607">
        <w:rPr>
          <w:rFonts w:cs="Arial"/>
          <w:szCs w:val="24"/>
        </w:rPr>
        <w:t xml:space="preserve"> Elle souligne également les répercussions du processus judiciaire, et par extension</w:t>
      </w:r>
      <w:r>
        <w:rPr>
          <w:rFonts w:cs="Arial"/>
          <w:szCs w:val="24"/>
        </w:rPr>
        <w:t>,</w:t>
      </w:r>
      <w:r w:rsidRPr="00377607">
        <w:rPr>
          <w:rFonts w:cs="Arial"/>
          <w:szCs w:val="24"/>
        </w:rPr>
        <w:t xml:space="preserve"> celles des peines sur l</w:t>
      </w:r>
      <w:r>
        <w:rPr>
          <w:rFonts w:cs="Arial"/>
          <w:szCs w:val="24"/>
        </w:rPr>
        <w:t>’</w:t>
      </w:r>
      <w:r w:rsidRPr="00377607">
        <w:rPr>
          <w:rFonts w:cs="Arial"/>
          <w:szCs w:val="24"/>
        </w:rPr>
        <w:t>intimée. Cette conclusion ne semble pas mettre l</w:t>
      </w:r>
      <w:r>
        <w:rPr>
          <w:rFonts w:cs="Arial"/>
          <w:szCs w:val="24"/>
        </w:rPr>
        <w:t>’</w:t>
      </w:r>
      <w:r w:rsidRPr="00377607">
        <w:rPr>
          <w:rFonts w:cs="Arial"/>
          <w:szCs w:val="24"/>
        </w:rPr>
        <w:t>accent sur les objectifs de dénonciation et de dissuasion d</w:t>
      </w:r>
      <w:r>
        <w:rPr>
          <w:rFonts w:cs="Arial"/>
          <w:szCs w:val="24"/>
        </w:rPr>
        <w:t>’un</w:t>
      </w:r>
      <w:r w:rsidRPr="00377607">
        <w:rPr>
          <w:rFonts w:cs="Arial"/>
          <w:szCs w:val="24"/>
        </w:rPr>
        <w:t xml:space="preserve">e manière compatible </w:t>
      </w:r>
      <w:r>
        <w:rPr>
          <w:rFonts w:cs="Arial"/>
          <w:szCs w:val="24"/>
        </w:rPr>
        <w:t xml:space="preserve">qui soit </w:t>
      </w:r>
      <w:r w:rsidRPr="00377607">
        <w:rPr>
          <w:rFonts w:cs="Arial"/>
          <w:szCs w:val="24"/>
        </w:rPr>
        <w:t xml:space="preserve">avec les principes et pratiques actuelles en matière de détermination de la peine. </w:t>
      </w:r>
    </w:p>
    <w:p w14:paraId="4E020B51" w14:textId="77777777" w:rsidR="005C67B6" w:rsidRPr="00745CB7" w:rsidRDefault="005C67B6" w:rsidP="005C67B6">
      <w:pPr>
        <w:pStyle w:val="Paragraphe"/>
        <w:spacing w:line="240" w:lineRule="auto"/>
        <w:rPr>
          <w:rFonts w:cs="Arial"/>
          <w:szCs w:val="24"/>
        </w:rPr>
      </w:pPr>
      <w:r w:rsidRPr="00377607">
        <w:rPr>
          <w:rFonts w:cs="Arial"/>
          <w:szCs w:val="24"/>
        </w:rPr>
        <w:t>Quant à la deuxième conclusion</w:t>
      </w:r>
      <w:r>
        <w:rPr>
          <w:rFonts w:cs="Arial"/>
          <w:szCs w:val="24"/>
        </w:rPr>
        <w:t> </w:t>
      </w:r>
      <w:r w:rsidRPr="00377607">
        <w:rPr>
          <w:rFonts w:cs="Arial"/>
          <w:szCs w:val="24"/>
        </w:rPr>
        <w:t xml:space="preserve">: </w:t>
      </w:r>
    </w:p>
    <w:p w14:paraId="3F78F765" w14:textId="77777777" w:rsidR="005C67B6" w:rsidRPr="007C2ACC" w:rsidRDefault="005C67B6" w:rsidP="005C67B6">
      <w:pPr>
        <w:pStyle w:val="Paragraphe"/>
        <w:numPr>
          <w:ilvl w:val="0"/>
          <w:numId w:val="0"/>
        </w:numPr>
        <w:spacing w:line="240" w:lineRule="auto"/>
        <w:ind w:left="720" w:right="720"/>
        <w:rPr>
          <w:rFonts w:cs="Arial"/>
          <w:b/>
          <w:bCs/>
          <w:sz w:val="22"/>
          <w:szCs w:val="22"/>
        </w:rPr>
      </w:pPr>
      <w:r w:rsidRPr="007C2ACC">
        <w:rPr>
          <w:rFonts w:cs="Arial"/>
          <w:b/>
          <w:bCs/>
          <w:sz w:val="22"/>
          <w:szCs w:val="22"/>
        </w:rPr>
        <w:t xml:space="preserve">Existe-t-il un écart entre la peine déterminée par le Tribunal et la peine minimale exigée par le législateur? Si tel est le cas, en application des principes élaborés par la Cour suprême dans </w:t>
      </w:r>
      <w:r w:rsidRPr="007C2ACC">
        <w:rPr>
          <w:rFonts w:cs="Arial"/>
          <w:b/>
          <w:bCs/>
          <w:i/>
          <w:iCs/>
          <w:sz w:val="22"/>
          <w:szCs w:val="22"/>
        </w:rPr>
        <w:t>Nur</w:t>
      </w:r>
      <w:r w:rsidRPr="007C2ACC">
        <w:rPr>
          <w:rFonts w:cs="Arial"/>
          <w:b/>
          <w:bCs/>
          <w:sz w:val="22"/>
          <w:szCs w:val="22"/>
        </w:rPr>
        <w:t xml:space="preserve">, </w:t>
      </w:r>
      <w:r w:rsidRPr="007C2ACC">
        <w:rPr>
          <w:rFonts w:cs="Arial"/>
          <w:b/>
          <w:bCs/>
          <w:i/>
          <w:iCs/>
          <w:sz w:val="22"/>
          <w:szCs w:val="22"/>
        </w:rPr>
        <w:t>Hills</w:t>
      </w:r>
      <w:r w:rsidRPr="007C2ACC">
        <w:rPr>
          <w:rFonts w:cs="Arial"/>
          <w:b/>
          <w:bCs/>
          <w:sz w:val="22"/>
          <w:szCs w:val="22"/>
        </w:rPr>
        <w:t xml:space="preserve"> et </w:t>
      </w:r>
      <w:r w:rsidRPr="007C2ACC">
        <w:rPr>
          <w:rFonts w:cs="Arial"/>
          <w:b/>
          <w:bCs/>
          <w:i/>
          <w:iCs/>
          <w:sz w:val="22"/>
          <w:szCs w:val="22"/>
        </w:rPr>
        <w:t>Hillbach</w:t>
      </w:r>
      <w:r w:rsidRPr="007C2ACC">
        <w:rPr>
          <w:rFonts w:cs="Arial"/>
          <w:b/>
          <w:bCs/>
          <w:sz w:val="22"/>
          <w:szCs w:val="22"/>
        </w:rPr>
        <w:t xml:space="preserve">, comment doit-être résolu cet écart?  </w:t>
      </w:r>
    </w:p>
    <w:p w14:paraId="1EB7B6C9" w14:textId="77777777" w:rsidR="005C67B6" w:rsidRPr="007C2ACC" w:rsidRDefault="005C67B6" w:rsidP="005C67B6">
      <w:pPr>
        <w:pStyle w:val="Paragraphe"/>
        <w:numPr>
          <w:ilvl w:val="0"/>
          <w:numId w:val="0"/>
        </w:numPr>
        <w:spacing w:line="240" w:lineRule="auto"/>
        <w:ind w:left="720" w:right="720"/>
        <w:rPr>
          <w:rFonts w:cs="Arial"/>
          <w:sz w:val="22"/>
          <w:szCs w:val="22"/>
        </w:rPr>
      </w:pPr>
      <w:r w:rsidRPr="007C2ACC">
        <w:rPr>
          <w:rFonts w:cs="Arial"/>
          <w:sz w:val="22"/>
          <w:szCs w:val="22"/>
        </w:rPr>
        <w:t>[95]</w:t>
      </w:r>
      <w:r w:rsidRPr="007C2ACC">
        <w:rPr>
          <w:rFonts w:cs="Arial"/>
          <w:sz w:val="22"/>
          <w:szCs w:val="22"/>
        </w:rPr>
        <w:tab/>
        <w:t>L’écart entre la peine que le Tribunal estime juste et raisonnable et les peines minimales obligatoires est disproportionné.</w:t>
      </w:r>
    </w:p>
    <w:p w14:paraId="08EBEF60" w14:textId="77777777" w:rsidR="005C67B6" w:rsidRPr="007C2ACC" w:rsidRDefault="005C67B6" w:rsidP="005C67B6">
      <w:pPr>
        <w:pStyle w:val="Paragraphe"/>
        <w:numPr>
          <w:ilvl w:val="0"/>
          <w:numId w:val="0"/>
        </w:numPr>
        <w:spacing w:line="240" w:lineRule="auto"/>
        <w:ind w:left="720" w:right="720"/>
        <w:rPr>
          <w:rFonts w:cs="Arial"/>
          <w:sz w:val="22"/>
          <w:szCs w:val="22"/>
        </w:rPr>
      </w:pPr>
      <w:r w:rsidRPr="007C2ACC">
        <w:rPr>
          <w:rFonts w:cs="Arial"/>
          <w:sz w:val="22"/>
          <w:szCs w:val="22"/>
        </w:rPr>
        <w:t>[96]</w:t>
      </w:r>
      <w:r w:rsidRPr="007C2ACC">
        <w:rPr>
          <w:rFonts w:cs="Arial"/>
          <w:sz w:val="22"/>
          <w:szCs w:val="22"/>
        </w:rPr>
        <w:tab/>
        <w:t xml:space="preserve">Par conséquent, le Tribunal conclut que la peine de 12 mois est non seulement excessive, mais elle constitue dans le cas de l’accusée une peine totalement disproportionnée et viole son droit d’être protégée contre les peines cruelles et inusitées prévues à l’article 12 de la </w:t>
      </w:r>
      <w:r w:rsidRPr="007C2ACC">
        <w:rPr>
          <w:rFonts w:cs="Arial"/>
          <w:i/>
          <w:iCs/>
          <w:sz w:val="22"/>
          <w:szCs w:val="22"/>
        </w:rPr>
        <w:t xml:space="preserve">Charte. </w:t>
      </w:r>
    </w:p>
    <w:p w14:paraId="5E4AEBBF" w14:textId="77777777" w:rsidR="005C67B6" w:rsidRPr="007C2ACC" w:rsidRDefault="005C67B6" w:rsidP="005C67B6">
      <w:pPr>
        <w:pStyle w:val="Paragraphe"/>
        <w:numPr>
          <w:ilvl w:val="0"/>
          <w:numId w:val="0"/>
        </w:numPr>
        <w:spacing w:line="240" w:lineRule="auto"/>
        <w:ind w:left="720" w:right="720"/>
        <w:jc w:val="right"/>
        <w:rPr>
          <w:rFonts w:cs="Arial"/>
          <w:sz w:val="22"/>
          <w:szCs w:val="22"/>
        </w:rPr>
      </w:pPr>
      <w:r w:rsidRPr="007C2ACC">
        <w:rPr>
          <w:rFonts w:cs="Arial"/>
          <w:sz w:val="22"/>
          <w:szCs w:val="22"/>
        </w:rPr>
        <w:t>[Renvoi omis]</w:t>
      </w:r>
    </w:p>
    <w:p w14:paraId="7B42EF3A" w14:textId="77777777" w:rsidR="005C67B6" w:rsidRDefault="005C67B6" w:rsidP="005C67B6">
      <w:pPr>
        <w:pStyle w:val="Paragraphe"/>
        <w:spacing w:line="240" w:lineRule="auto"/>
        <w:rPr>
          <w:rFonts w:cs="Arial"/>
          <w:szCs w:val="24"/>
        </w:rPr>
      </w:pPr>
      <w:r w:rsidRPr="00377607">
        <w:rPr>
          <w:rFonts w:cs="Arial"/>
          <w:szCs w:val="24"/>
        </w:rPr>
        <w:t>Rien de plus n</w:t>
      </w:r>
      <w:r>
        <w:rPr>
          <w:rFonts w:cs="Arial"/>
          <w:szCs w:val="24"/>
        </w:rPr>
        <w:t>’</w:t>
      </w:r>
      <w:r w:rsidRPr="00377607">
        <w:rPr>
          <w:rFonts w:cs="Arial"/>
          <w:szCs w:val="24"/>
        </w:rPr>
        <w:t>est dit pour expliquer la déclaration d</w:t>
      </w:r>
      <w:r>
        <w:rPr>
          <w:rFonts w:cs="Arial"/>
          <w:szCs w:val="24"/>
        </w:rPr>
        <w:t>’</w:t>
      </w:r>
      <w:r w:rsidRPr="00377607">
        <w:rPr>
          <w:rFonts w:cs="Arial"/>
          <w:szCs w:val="24"/>
        </w:rPr>
        <w:t>inopérabilité fondée sur l</w:t>
      </w:r>
      <w:r>
        <w:rPr>
          <w:rFonts w:cs="Arial"/>
          <w:szCs w:val="24"/>
        </w:rPr>
        <w:t>’</w:t>
      </w:r>
      <w:r w:rsidRPr="00377607">
        <w:rPr>
          <w:rFonts w:cs="Arial"/>
          <w:szCs w:val="24"/>
        </w:rPr>
        <w:t>article</w:t>
      </w:r>
      <w:r>
        <w:rPr>
          <w:rFonts w:cs="Arial"/>
          <w:szCs w:val="24"/>
        </w:rPr>
        <w:t> </w:t>
      </w:r>
      <w:r w:rsidRPr="00377607">
        <w:rPr>
          <w:rFonts w:cs="Arial"/>
          <w:szCs w:val="24"/>
        </w:rPr>
        <w:t>12 et le paragraphe</w:t>
      </w:r>
      <w:r>
        <w:rPr>
          <w:rFonts w:cs="Arial"/>
          <w:szCs w:val="24"/>
        </w:rPr>
        <w:t> </w:t>
      </w:r>
      <w:r w:rsidRPr="00377607">
        <w:rPr>
          <w:rFonts w:cs="Arial"/>
          <w:szCs w:val="24"/>
        </w:rPr>
        <w:t xml:space="preserve">24(1) de la </w:t>
      </w:r>
      <w:r w:rsidRPr="00377607">
        <w:rPr>
          <w:rFonts w:cs="Arial"/>
          <w:i/>
          <w:iCs/>
          <w:szCs w:val="24"/>
        </w:rPr>
        <w:t>Charte</w:t>
      </w:r>
      <w:r w:rsidRPr="00377607">
        <w:rPr>
          <w:rFonts w:cs="Arial"/>
          <w:szCs w:val="24"/>
        </w:rPr>
        <w:t>. La juge n</w:t>
      </w:r>
      <w:r>
        <w:rPr>
          <w:rFonts w:cs="Arial"/>
          <w:szCs w:val="24"/>
        </w:rPr>
        <w:t>’</w:t>
      </w:r>
      <w:r w:rsidRPr="00377607">
        <w:rPr>
          <w:rFonts w:cs="Arial"/>
          <w:szCs w:val="24"/>
        </w:rPr>
        <w:t>explique pas précisément pourquoi ou comment la peine minimale obligatoire d</w:t>
      </w:r>
      <w:r>
        <w:rPr>
          <w:rFonts w:cs="Arial"/>
          <w:szCs w:val="24"/>
        </w:rPr>
        <w:t>’</w:t>
      </w:r>
      <w:r w:rsidRPr="00377607">
        <w:rPr>
          <w:rFonts w:cs="Arial"/>
          <w:szCs w:val="24"/>
        </w:rPr>
        <w:t>un an est incompatible avec l</w:t>
      </w:r>
      <w:r>
        <w:rPr>
          <w:rFonts w:cs="Arial"/>
          <w:szCs w:val="24"/>
        </w:rPr>
        <w:t>’</w:t>
      </w:r>
      <w:r w:rsidRPr="00377607">
        <w:rPr>
          <w:rFonts w:cs="Arial"/>
          <w:szCs w:val="24"/>
        </w:rPr>
        <w:t>article</w:t>
      </w:r>
      <w:r>
        <w:rPr>
          <w:rFonts w:cs="Arial"/>
          <w:szCs w:val="24"/>
        </w:rPr>
        <w:t> </w:t>
      </w:r>
      <w:r w:rsidRPr="00377607">
        <w:rPr>
          <w:rFonts w:cs="Arial"/>
          <w:szCs w:val="24"/>
        </w:rPr>
        <w:t>12. Il semble que sa conclusion ne repose que sur son évaluation de la situation de l</w:t>
      </w:r>
      <w:r>
        <w:rPr>
          <w:rFonts w:cs="Arial"/>
          <w:szCs w:val="24"/>
        </w:rPr>
        <w:t>’</w:t>
      </w:r>
      <w:r w:rsidRPr="00377607">
        <w:rPr>
          <w:rFonts w:cs="Arial"/>
          <w:szCs w:val="24"/>
        </w:rPr>
        <w:t>intimée, qui s</w:t>
      </w:r>
      <w:r>
        <w:rPr>
          <w:rFonts w:cs="Arial"/>
          <w:szCs w:val="24"/>
        </w:rPr>
        <w:t>’</w:t>
      </w:r>
      <w:r w:rsidRPr="00377607">
        <w:rPr>
          <w:rFonts w:cs="Arial"/>
          <w:szCs w:val="24"/>
        </w:rPr>
        <w:t>oppose selon elle au prononcé d</w:t>
      </w:r>
      <w:r>
        <w:rPr>
          <w:rFonts w:cs="Arial"/>
          <w:szCs w:val="24"/>
        </w:rPr>
        <w:t>’</w:t>
      </w:r>
      <w:r w:rsidRPr="00377607">
        <w:rPr>
          <w:rFonts w:cs="Arial"/>
          <w:szCs w:val="24"/>
        </w:rPr>
        <w:t>une telle peine</w:t>
      </w:r>
      <w:r>
        <w:rPr>
          <w:rStyle w:val="Appelnotedebasdep"/>
          <w:rFonts w:cs="Arial"/>
          <w:szCs w:val="24"/>
        </w:rPr>
        <w:footnoteReference w:id="50"/>
      </w:r>
      <w:r>
        <w:rPr>
          <w:rFonts w:cs="Arial"/>
          <w:szCs w:val="24"/>
        </w:rPr>
        <w:t>.</w:t>
      </w:r>
      <w:r w:rsidRPr="00377607">
        <w:rPr>
          <w:rFonts w:cs="Arial"/>
          <w:szCs w:val="24"/>
        </w:rPr>
        <w:t xml:space="preserve"> </w:t>
      </w:r>
    </w:p>
    <w:p w14:paraId="51E0730A" w14:textId="77777777" w:rsidR="005C67B6" w:rsidRPr="00745CB7" w:rsidRDefault="005C67B6" w:rsidP="005C67B6">
      <w:pPr>
        <w:pStyle w:val="Paragraphe"/>
        <w:numPr>
          <w:ilvl w:val="0"/>
          <w:numId w:val="0"/>
        </w:numPr>
        <w:spacing w:before="240" w:after="0" w:line="240" w:lineRule="auto"/>
        <w:jc w:val="center"/>
        <w:rPr>
          <w:rFonts w:cs="Arial"/>
          <w:b/>
          <w:bCs/>
          <w:szCs w:val="24"/>
        </w:rPr>
      </w:pPr>
      <w:r w:rsidRPr="00377607">
        <w:rPr>
          <w:rFonts w:cs="Arial"/>
          <w:b/>
          <w:bCs/>
          <w:szCs w:val="24"/>
        </w:rPr>
        <w:t>V</w:t>
      </w:r>
    </w:p>
    <w:p w14:paraId="2AAA20EC" w14:textId="77777777" w:rsidR="005C67B6" w:rsidRPr="00745CB7" w:rsidRDefault="005C67B6" w:rsidP="005C67B6">
      <w:pPr>
        <w:pStyle w:val="Paragraphe"/>
        <w:numPr>
          <w:ilvl w:val="0"/>
          <w:numId w:val="0"/>
        </w:numPr>
        <w:spacing w:before="0" w:after="240" w:line="240" w:lineRule="auto"/>
        <w:jc w:val="center"/>
        <w:rPr>
          <w:rFonts w:cs="Arial"/>
          <w:b/>
          <w:bCs/>
          <w:szCs w:val="24"/>
        </w:rPr>
      </w:pPr>
      <w:r w:rsidRPr="00377607">
        <w:rPr>
          <w:rFonts w:cs="Arial"/>
          <w:b/>
          <w:bCs/>
          <w:szCs w:val="24"/>
        </w:rPr>
        <w:t>Les peines minimales obligatoires sont-elles valides?</w:t>
      </w:r>
    </w:p>
    <w:p w14:paraId="5BBDD2DA" w14:textId="77777777" w:rsidR="005C67B6" w:rsidRPr="00745CB7" w:rsidRDefault="005C67B6" w:rsidP="005C67B6">
      <w:pPr>
        <w:pStyle w:val="Paragraphe"/>
        <w:spacing w:line="240" w:lineRule="auto"/>
        <w:rPr>
          <w:rFonts w:cs="Arial"/>
          <w:szCs w:val="24"/>
        </w:rPr>
      </w:pPr>
      <w:r w:rsidRPr="00377607">
        <w:rPr>
          <w:rFonts w:cs="Arial"/>
          <w:szCs w:val="24"/>
        </w:rPr>
        <w:t>Je garde à l</w:t>
      </w:r>
      <w:r>
        <w:rPr>
          <w:rFonts w:cs="Arial"/>
          <w:szCs w:val="24"/>
        </w:rPr>
        <w:t>’</w:t>
      </w:r>
      <w:r w:rsidRPr="00377607">
        <w:rPr>
          <w:rFonts w:cs="Arial"/>
          <w:szCs w:val="24"/>
        </w:rPr>
        <w:t xml:space="preserve">esprit que la validité des peines peut être évaluée </w:t>
      </w:r>
      <w:r>
        <w:rPr>
          <w:rFonts w:cs="Arial"/>
          <w:szCs w:val="24"/>
        </w:rPr>
        <w:t>en les comparant aux</w:t>
      </w:r>
      <w:r w:rsidRPr="00377607">
        <w:rPr>
          <w:rFonts w:cs="Arial"/>
          <w:szCs w:val="24"/>
        </w:rPr>
        <w:t xml:space="preserve"> peines qui ont été prononcées en l</w:t>
      </w:r>
      <w:r>
        <w:rPr>
          <w:rFonts w:cs="Arial"/>
          <w:szCs w:val="24"/>
        </w:rPr>
        <w:t>’</w:t>
      </w:r>
      <w:r w:rsidRPr="00377607">
        <w:rPr>
          <w:rFonts w:cs="Arial"/>
          <w:szCs w:val="24"/>
        </w:rPr>
        <w:t xml:space="preserve">espèce ou </w:t>
      </w:r>
      <w:r>
        <w:rPr>
          <w:rFonts w:cs="Arial"/>
          <w:szCs w:val="24"/>
        </w:rPr>
        <w:t>sous l’angle</w:t>
      </w:r>
      <w:r w:rsidRPr="00377607">
        <w:rPr>
          <w:rFonts w:cs="Arial"/>
          <w:szCs w:val="24"/>
        </w:rPr>
        <w:t xml:space="preserve"> </w:t>
      </w:r>
      <w:r>
        <w:rPr>
          <w:rFonts w:cs="Arial"/>
          <w:szCs w:val="24"/>
        </w:rPr>
        <w:t>d’</w:t>
      </w:r>
      <w:r w:rsidRPr="00377607">
        <w:rPr>
          <w:rFonts w:cs="Arial"/>
          <w:szCs w:val="24"/>
        </w:rPr>
        <w:t>une situation raisonnablement prévisible. Une conclusion d</w:t>
      </w:r>
      <w:r>
        <w:rPr>
          <w:rFonts w:cs="Arial"/>
          <w:szCs w:val="24"/>
        </w:rPr>
        <w:t>’</w:t>
      </w:r>
      <w:r w:rsidRPr="00377607">
        <w:rPr>
          <w:rFonts w:cs="Arial"/>
          <w:szCs w:val="24"/>
        </w:rPr>
        <w:t>invalidité selon l</w:t>
      </w:r>
      <w:r>
        <w:rPr>
          <w:rFonts w:cs="Arial"/>
          <w:szCs w:val="24"/>
        </w:rPr>
        <w:t>’</w:t>
      </w:r>
      <w:r w:rsidRPr="00377607">
        <w:rPr>
          <w:rFonts w:cs="Arial"/>
          <w:szCs w:val="24"/>
        </w:rPr>
        <w:t>un ou l</w:t>
      </w:r>
      <w:r>
        <w:rPr>
          <w:rFonts w:cs="Arial"/>
          <w:szCs w:val="24"/>
        </w:rPr>
        <w:t>’</w:t>
      </w:r>
      <w:r w:rsidRPr="00377607">
        <w:rPr>
          <w:rFonts w:cs="Arial"/>
          <w:szCs w:val="24"/>
        </w:rPr>
        <w:t>autre suffira pour déclarer les peines invalides en vertu de l</w:t>
      </w:r>
      <w:r>
        <w:rPr>
          <w:rFonts w:cs="Arial"/>
          <w:szCs w:val="24"/>
        </w:rPr>
        <w:t>’</w:t>
      </w:r>
      <w:r w:rsidRPr="00377607">
        <w:rPr>
          <w:rFonts w:cs="Arial"/>
          <w:szCs w:val="24"/>
        </w:rPr>
        <w:t>article</w:t>
      </w:r>
      <w:r>
        <w:rPr>
          <w:rFonts w:cs="Arial"/>
          <w:szCs w:val="24"/>
        </w:rPr>
        <w:t> </w:t>
      </w:r>
      <w:r w:rsidRPr="00377607">
        <w:rPr>
          <w:rFonts w:cs="Arial"/>
          <w:szCs w:val="24"/>
        </w:rPr>
        <w:t xml:space="preserve">52 de la </w:t>
      </w:r>
      <w:r w:rsidRPr="00377607">
        <w:rPr>
          <w:rFonts w:cs="Arial"/>
          <w:i/>
          <w:iCs/>
          <w:szCs w:val="24"/>
        </w:rPr>
        <w:t>Loi constitutionnelle de 1982</w:t>
      </w:r>
      <w:r w:rsidRPr="00377607">
        <w:rPr>
          <w:rFonts w:cs="Arial"/>
          <w:szCs w:val="24"/>
        </w:rPr>
        <w:t>.</w:t>
      </w:r>
    </w:p>
    <w:p w14:paraId="1C4EDC39" w14:textId="77777777" w:rsidR="005C67B6" w:rsidRPr="00745CB7" w:rsidRDefault="005C67B6" w:rsidP="005C67B6">
      <w:pPr>
        <w:pStyle w:val="Paragraphe"/>
        <w:spacing w:line="240" w:lineRule="auto"/>
        <w:rPr>
          <w:rFonts w:cs="Arial"/>
          <w:szCs w:val="24"/>
        </w:rPr>
      </w:pPr>
      <w:r w:rsidRPr="00377607">
        <w:rPr>
          <w:rFonts w:cs="Arial"/>
          <w:szCs w:val="24"/>
        </w:rPr>
        <w:t>Une peine minimale obligatoire s</w:t>
      </w:r>
      <w:r>
        <w:rPr>
          <w:rFonts w:cs="Arial"/>
          <w:szCs w:val="24"/>
        </w:rPr>
        <w:t>’</w:t>
      </w:r>
      <w:r w:rsidRPr="00377607">
        <w:rPr>
          <w:rFonts w:cs="Arial"/>
          <w:szCs w:val="24"/>
        </w:rPr>
        <w:t>applique sans égard aux faits et présuppose qu</w:t>
      </w:r>
      <w:r>
        <w:rPr>
          <w:rFonts w:cs="Arial"/>
          <w:szCs w:val="24"/>
        </w:rPr>
        <w:t>’</w:t>
      </w:r>
      <w:r w:rsidRPr="00377607">
        <w:rPr>
          <w:rFonts w:cs="Arial"/>
          <w:szCs w:val="24"/>
        </w:rPr>
        <w:t>il est possible pour le Parlement de fixer une peine minimale qui soit invariablement proportionnée. Une telle peine diminue le caractère discrétionnaire du pouvoir décisionnel et élimine la possibilité de fixer une peine proportionnée</w:t>
      </w:r>
      <w:r>
        <w:rPr>
          <w:rFonts w:cs="Arial"/>
          <w:szCs w:val="24"/>
        </w:rPr>
        <w:t xml:space="preserve"> qui soit</w:t>
      </w:r>
      <w:r w:rsidRPr="00377607">
        <w:rPr>
          <w:rFonts w:cs="Arial"/>
          <w:szCs w:val="24"/>
        </w:rPr>
        <w:t xml:space="preserve"> inférieure au minimum obligatoire en tenant dûment compte des objectifs valides. La peine minimale obligatoire est incompatible avec les principes d</w:t>
      </w:r>
      <w:r>
        <w:rPr>
          <w:rFonts w:cs="Arial"/>
          <w:szCs w:val="24"/>
        </w:rPr>
        <w:t>’</w:t>
      </w:r>
      <w:r w:rsidRPr="00377607">
        <w:rPr>
          <w:rFonts w:cs="Arial"/>
          <w:szCs w:val="24"/>
        </w:rPr>
        <w:t xml:space="preserve">individualisation de la peine. </w:t>
      </w:r>
    </w:p>
    <w:p w14:paraId="1863472F" w14:textId="77777777" w:rsidR="005C67B6" w:rsidRPr="00611818" w:rsidRDefault="005C67B6" w:rsidP="005C67B6">
      <w:pPr>
        <w:pStyle w:val="Paragraphe"/>
        <w:spacing w:line="240" w:lineRule="auto"/>
        <w:rPr>
          <w:rFonts w:cs="Arial"/>
          <w:szCs w:val="24"/>
        </w:rPr>
      </w:pPr>
      <w:r w:rsidRPr="00377607">
        <w:rPr>
          <w:rFonts w:cs="Arial"/>
          <w:szCs w:val="24"/>
        </w:rPr>
        <w:t xml:space="preserve">Le recours à </w:t>
      </w:r>
      <w:r>
        <w:rPr>
          <w:rFonts w:cs="Arial"/>
          <w:szCs w:val="24"/>
        </w:rPr>
        <w:t>une</w:t>
      </w:r>
      <w:r w:rsidRPr="00377607">
        <w:rPr>
          <w:rFonts w:cs="Arial"/>
          <w:szCs w:val="24"/>
        </w:rPr>
        <w:t xml:space="preserve"> situation raisonnablement prévisible offre un prisme à travers lequel il est possible de tester les hypothèses qui so</w:t>
      </w:r>
      <w:r>
        <w:rPr>
          <w:rFonts w:cs="Arial"/>
          <w:szCs w:val="24"/>
        </w:rPr>
        <w:t>us-tende</w:t>
      </w:r>
      <w:r w:rsidRPr="00377607">
        <w:rPr>
          <w:rFonts w:cs="Arial"/>
          <w:szCs w:val="24"/>
        </w:rPr>
        <w:t>nt</w:t>
      </w:r>
      <w:r>
        <w:rPr>
          <w:rFonts w:cs="Arial"/>
          <w:szCs w:val="24"/>
        </w:rPr>
        <w:t xml:space="preserve"> une</w:t>
      </w:r>
      <w:r w:rsidRPr="00377607">
        <w:rPr>
          <w:rFonts w:cs="Arial"/>
          <w:szCs w:val="24"/>
        </w:rPr>
        <w:t xml:space="preserve"> peine minimale. Il s</w:t>
      </w:r>
      <w:r>
        <w:rPr>
          <w:rFonts w:cs="Arial"/>
          <w:szCs w:val="24"/>
        </w:rPr>
        <w:t>’</w:t>
      </w:r>
      <w:r w:rsidRPr="00377607">
        <w:rPr>
          <w:rFonts w:cs="Arial"/>
          <w:szCs w:val="24"/>
        </w:rPr>
        <w:t>agit d</w:t>
      </w:r>
      <w:r>
        <w:rPr>
          <w:rFonts w:cs="Arial"/>
          <w:szCs w:val="24"/>
        </w:rPr>
        <w:t>’</w:t>
      </w:r>
      <w:r w:rsidRPr="00377607">
        <w:rPr>
          <w:rFonts w:cs="Arial"/>
          <w:szCs w:val="24"/>
        </w:rPr>
        <w:t>un instrument qui permet au tribunal d</w:t>
      </w:r>
      <w:r>
        <w:rPr>
          <w:rFonts w:cs="Arial"/>
          <w:szCs w:val="24"/>
        </w:rPr>
        <w:t>’</w:t>
      </w:r>
      <w:r w:rsidRPr="00377607">
        <w:rPr>
          <w:rFonts w:cs="Arial"/>
          <w:szCs w:val="24"/>
        </w:rPr>
        <w:t>appel de prendre en compte l</w:t>
      </w:r>
      <w:r>
        <w:rPr>
          <w:rFonts w:cs="Arial"/>
          <w:szCs w:val="24"/>
        </w:rPr>
        <w:t>’</w:t>
      </w:r>
      <w:r w:rsidRPr="00377607">
        <w:rPr>
          <w:rFonts w:cs="Arial"/>
          <w:szCs w:val="24"/>
        </w:rPr>
        <w:t xml:space="preserve">étendue des comportements visés par une infraction et de comparer puis mettre en opposition les peines méritées dans un éventail de situations prévisibles. </w:t>
      </w:r>
      <w:r w:rsidRPr="00D85F8F">
        <w:rPr>
          <w:rFonts w:cs="Arial"/>
          <w:szCs w:val="24"/>
        </w:rPr>
        <w:t xml:space="preserve">C’est un instrument heuristique inhabituel pour déterminer la peine, car il demande au juge d’attribuer la qualité de partie à un délinquant fictif (mais plausible), même lorsque les peines qui ont été infligées au délinquant qui subit réellement son procès ne violent pas l’article 12 de la </w:t>
      </w:r>
      <w:r w:rsidRPr="00D85F8F">
        <w:rPr>
          <w:rFonts w:cs="Arial"/>
          <w:i/>
          <w:iCs/>
          <w:szCs w:val="24"/>
        </w:rPr>
        <w:t>Charte</w:t>
      </w:r>
      <w:r w:rsidRPr="00D85F8F">
        <w:rPr>
          <w:rFonts w:cs="Arial"/>
          <w:szCs w:val="24"/>
        </w:rPr>
        <w:t>.</w:t>
      </w:r>
      <w:r w:rsidRPr="00611818">
        <w:rPr>
          <w:rFonts w:cs="Arial"/>
          <w:szCs w:val="24"/>
        </w:rPr>
        <w:t xml:space="preserve"> </w:t>
      </w:r>
    </w:p>
    <w:p w14:paraId="33AE8CB3" w14:textId="77777777" w:rsidR="005C67B6" w:rsidRPr="00611818" w:rsidRDefault="005C67B6" w:rsidP="005C67B6">
      <w:pPr>
        <w:pStyle w:val="Paragraphe"/>
        <w:spacing w:line="240" w:lineRule="auto"/>
        <w:rPr>
          <w:rFonts w:cs="Arial"/>
          <w:szCs w:val="24"/>
        </w:rPr>
      </w:pPr>
      <w:r w:rsidRPr="00611818">
        <w:rPr>
          <w:rFonts w:cs="Arial"/>
          <w:szCs w:val="24"/>
        </w:rPr>
        <w:t>Je conviens que les peines minimales prévues pour les infractions de production et de distribution de pornographie juvénile sont incompatibles avec l’article 12. Cette conclusion se justifie notamment par le fait que si l’on applique la situation raisonnablement prévisible adaptée en l’espèce, une peine minimale obligatoire d’un an serait d’une gravité disproportionnée, peu importe la peine que mérite réellement l’intimée</w:t>
      </w:r>
      <w:r w:rsidRPr="00611818">
        <w:rPr>
          <w:rStyle w:val="Appelnotedebasdep"/>
          <w:rFonts w:cs="Arial"/>
          <w:szCs w:val="24"/>
        </w:rPr>
        <w:footnoteReference w:id="51"/>
      </w:r>
      <w:r w:rsidRPr="00611818">
        <w:rPr>
          <w:rFonts w:cs="Arial"/>
          <w:szCs w:val="24"/>
        </w:rPr>
        <w:t>.</w:t>
      </w:r>
    </w:p>
    <w:p w14:paraId="4A587276" w14:textId="77777777" w:rsidR="005C67B6" w:rsidRPr="00611818" w:rsidRDefault="005C67B6" w:rsidP="005C67B6">
      <w:pPr>
        <w:pStyle w:val="Paragraphe"/>
        <w:spacing w:line="240" w:lineRule="auto"/>
        <w:rPr>
          <w:rFonts w:cs="Arial"/>
          <w:szCs w:val="24"/>
        </w:rPr>
      </w:pPr>
      <w:r w:rsidRPr="00377607">
        <w:rPr>
          <w:rFonts w:cs="Arial"/>
          <w:szCs w:val="24"/>
        </w:rPr>
        <w:t>Je garde également à l</w:t>
      </w:r>
      <w:r>
        <w:rPr>
          <w:rFonts w:cs="Arial"/>
          <w:szCs w:val="24"/>
        </w:rPr>
        <w:t>’</w:t>
      </w:r>
      <w:r w:rsidRPr="00377607">
        <w:rPr>
          <w:rFonts w:cs="Arial"/>
          <w:szCs w:val="24"/>
        </w:rPr>
        <w:t>esprit que la Cour suprême, dans l</w:t>
      </w:r>
      <w:r>
        <w:rPr>
          <w:rFonts w:cs="Arial"/>
          <w:szCs w:val="24"/>
        </w:rPr>
        <w:t>’</w:t>
      </w:r>
      <w:r w:rsidRPr="00377607">
        <w:rPr>
          <w:rFonts w:cs="Arial"/>
          <w:szCs w:val="24"/>
        </w:rPr>
        <w:t xml:space="preserve">arrêt </w:t>
      </w:r>
      <w:r w:rsidRPr="00377607">
        <w:rPr>
          <w:rFonts w:cs="Arial"/>
          <w:i/>
          <w:iCs/>
          <w:szCs w:val="24"/>
        </w:rPr>
        <w:t>Hills</w:t>
      </w:r>
      <w:r w:rsidRPr="00377607">
        <w:rPr>
          <w:rFonts w:cs="Arial"/>
          <w:szCs w:val="24"/>
        </w:rPr>
        <w:t xml:space="preserve">, enjoint aux tribunaux </w:t>
      </w:r>
      <w:r>
        <w:rPr>
          <w:rFonts w:cs="Arial"/>
          <w:szCs w:val="24"/>
        </w:rPr>
        <w:t xml:space="preserve">d’appel </w:t>
      </w:r>
      <w:r w:rsidRPr="00377607">
        <w:rPr>
          <w:rFonts w:cs="Arial"/>
          <w:szCs w:val="24"/>
        </w:rPr>
        <w:t>de prendre en considération le degré variable de gravité de l</w:t>
      </w:r>
      <w:r>
        <w:rPr>
          <w:rFonts w:cs="Arial"/>
          <w:szCs w:val="24"/>
        </w:rPr>
        <w:t>’</w:t>
      </w:r>
      <w:r w:rsidRPr="00377607">
        <w:rPr>
          <w:rFonts w:cs="Arial"/>
          <w:szCs w:val="24"/>
        </w:rPr>
        <w:t>infraction matérielle, les effets de la peine minimale sur le délinquant et les objectifs qu</w:t>
      </w:r>
      <w:r>
        <w:rPr>
          <w:rFonts w:cs="Arial"/>
          <w:szCs w:val="24"/>
        </w:rPr>
        <w:t>’</w:t>
      </w:r>
      <w:r w:rsidRPr="00377607">
        <w:rPr>
          <w:rFonts w:cs="Arial"/>
          <w:szCs w:val="24"/>
        </w:rPr>
        <w:t>avait le Parlement en fixant cette peine</w:t>
      </w:r>
      <w:r>
        <w:rPr>
          <w:rStyle w:val="Appelnotedebasdep"/>
          <w:rFonts w:cs="Arial"/>
          <w:szCs w:val="24"/>
        </w:rPr>
        <w:footnoteReference w:id="52"/>
      </w:r>
      <w:r>
        <w:rPr>
          <w:rFonts w:cs="Arial"/>
          <w:szCs w:val="24"/>
        </w:rPr>
        <w:t>.</w:t>
      </w:r>
      <w:r w:rsidRPr="00377607">
        <w:rPr>
          <w:rFonts w:cs="Arial"/>
          <w:szCs w:val="24"/>
        </w:rPr>
        <w:t xml:space="preserve"> </w:t>
      </w:r>
      <w:r w:rsidRPr="00611818">
        <w:rPr>
          <w:rFonts w:cs="Arial"/>
          <w:szCs w:val="24"/>
        </w:rPr>
        <w:t>Ces trois éléments ne sont pas totalement indépendants, car ils peuvent interagir; ils ne sont pas cumulatifs non plus, puisque n’importe lequel d’entre eux peut s’avérer déterminant. En réalité, ils reflètent trois volets de l’analyse relative à la disproportion.</w:t>
      </w:r>
    </w:p>
    <w:p w14:paraId="3E2C04FD" w14:textId="77777777" w:rsidR="005C67B6" w:rsidRPr="00B6492C" w:rsidRDefault="005C67B6" w:rsidP="005C67B6">
      <w:pPr>
        <w:pStyle w:val="Paragraphe"/>
        <w:spacing w:line="240" w:lineRule="auto"/>
        <w:rPr>
          <w:rFonts w:cs="Arial"/>
          <w:szCs w:val="24"/>
        </w:rPr>
      </w:pPr>
      <w:r w:rsidRPr="00611818">
        <w:rPr>
          <w:rFonts w:cs="Arial"/>
          <w:szCs w:val="24"/>
        </w:rPr>
        <w:t>Il est manifeste que les infractions auxquelles ont</w:t>
      </w:r>
      <w:r w:rsidRPr="00377607">
        <w:rPr>
          <w:rFonts w:cs="Arial"/>
          <w:szCs w:val="24"/>
        </w:rPr>
        <w:t xml:space="preserve"> été attribuées des peines minimales couvrent un large éventail de situations allant d</w:t>
      </w:r>
      <w:r>
        <w:rPr>
          <w:rFonts w:cs="Arial"/>
          <w:szCs w:val="24"/>
        </w:rPr>
        <w:t>’</w:t>
      </w:r>
      <w:r w:rsidRPr="00377607">
        <w:rPr>
          <w:rFonts w:cs="Arial"/>
          <w:szCs w:val="24"/>
        </w:rPr>
        <w:t>actes d</w:t>
      </w:r>
      <w:r>
        <w:rPr>
          <w:rFonts w:cs="Arial"/>
          <w:szCs w:val="24"/>
        </w:rPr>
        <w:t>’</w:t>
      </w:r>
      <w:r w:rsidRPr="00377607">
        <w:rPr>
          <w:rFonts w:cs="Arial"/>
          <w:szCs w:val="24"/>
        </w:rPr>
        <w:t>une gravité relativement mineure à d</w:t>
      </w:r>
      <w:r>
        <w:rPr>
          <w:rFonts w:cs="Arial"/>
          <w:szCs w:val="24"/>
        </w:rPr>
        <w:t>’</w:t>
      </w:r>
      <w:r w:rsidRPr="00377607">
        <w:rPr>
          <w:rFonts w:cs="Arial"/>
          <w:szCs w:val="24"/>
        </w:rPr>
        <w:t>autres qui dénotent une grande criminalité</w:t>
      </w:r>
      <w:r>
        <w:rPr>
          <w:rStyle w:val="Appelnotedebasdep"/>
          <w:rFonts w:cs="Arial"/>
          <w:szCs w:val="24"/>
        </w:rPr>
        <w:footnoteReference w:id="53"/>
      </w:r>
      <w:r>
        <w:rPr>
          <w:rFonts w:cs="Arial"/>
          <w:szCs w:val="24"/>
        </w:rPr>
        <w:t>.</w:t>
      </w:r>
      <w:r w:rsidRPr="00377607">
        <w:rPr>
          <w:rFonts w:cs="Arial"/>
          <w:szCs w:val="24"/>
        </w:rPr>
        <w:t xml:space="preserve"> La situation raisonnablement prévisible adaptée en l</w:t>
      </w:r>
      <w:r>
        <w:rPr>
          <w:rFonts w:cs="Arial"/>
          <w:szCs w:val="24"/>
        </w:rPr>
        <w:t>’</w:t>
      </w:r>
      <w:r w:rsidRPr="00377607">
        <w:rPr>
          <w:rFonts w:cs="Arial"/>
          <w:szCs w:val="24"/>
        </w:rPr>
        <w:t>espèce offre un exemple d</w:t>
      </w:r>
      <w:r>
        <w:rPr>
          <w:rFonts w:cs="Arial"/>
          <w:szCs w:val="24"/>
        </w:rPr>
        <w:t>’</w:t>
      </w:r>
      <w:r w:rsidRPr="00377607">
        <w:rPr>
          <w:rFonts w:cs="Arial"/>
          <w:szCs w:val="24"/>
        </w:rPr>
        <w:t>infractions qui se situent au bas de l</w:t>
      </w:r>
      <w:r>
        <w:rPr>
          <w:rFonts w:cs="Arial"/>
          <w:szCs w:val="24"/>
        </w:rPr>
        <w:t>’</w:t>
      </w:r>
      <w:r w:rsidRPr="00377607">
        <w:rPr>
          <w:rFonts w:cs="Arial"/>
          <w:szCs w:val="24"/>
        </w:rPr>
        <w:t>échelle de gravité et démontre par ailleurs que les peines minimales obligatoires s</w:t>
      </w:r>
      <w:r>
        <w:rPr>
          <w:rFonts w:cs="Arial"/>
          <w:szCs w:val="24"/>
        </w:rPr>
        <w:t>’</w:t>
      </w:r>
      <w:r w:rsidRPr="00377607">
        <w:rPr>
          <w:rFonts w:cs="Arial"/>
          <w:szCs w:val="24"/>
        </w:rPr>
        <w:t xml:space="preserve">appliquent avec la même force à des situations exigeant des peines </w:t>
      </w:r>
      <w:r>
        <w:rPr>
          <w:rFonts w:cs="Arial"/>
          <w:szCs w:val="24"/>
        </w:rPr>
        <w:t>lourd</w:t>
      </w:r>
      <w:r w:rsidRPr="00377607">
        <w:rPr>
          <w:rFonts w:cs="Arial"/>
          <w:szCs w:val="24"/>
        </w:rPr>
        <w:t>es qu</w:t>
      </w:r>
      <w:r>
        <w:rPr>
          <w:rFonts w:cs="Arial"/>
          <w:szCs w:val="24"/>
        </w:rPr>
        <w:t>’</w:t>
      </w:r>
      <w:r w:rsidRPr="00377607">
        <w:rPr>
          <w:rFonts w:cs="Arial"/>
          <w:szCs w:val="24"/>
        </w:rPr>
        <w:t>à d</w:t>
      </w:r>
      <w:r>
        <w:rPr>
          <w:rFonts w:cs="Arial"/>
          <w:szCs w:val="24"/>
        </w:rPr>
        <w:t>’</w:t>
      </w:r>
      <w:r w:rsidRPr="00377607">
        <w:rPr>
          <w:rFonts w:cs="Arial"/>
          <w:szCs w:val="24"/>
        </w:rPr>
        <w:t>autres ne l</w:t>
      </w:r>
      <w:r>
        <w:rPr>
          <w:rFonts w:cs="Arial"/>
          <w:szCs w:val="24"/>
        </w:rPr>
        <w:t>’</w:t>
      </w:r>
      <w:r w:rsidRPr="00377607">
        <w:rPr>
          <w:rFonts w:cs="Arial"/>
          <w:szCs w:val="24"/>
        </w:rPr>
        <w:t>exigeant pas. Ce scénario illustre les implications d</w:t>
      </w:r>
      <w:r>
        <w:rPr>
          <w:rFonts w:cs="Arial"/>
          <w:szCs w:val="24"/>
        </w:rPr>
        <w:t>’</w:t>
      </w:r>
      <w:r w:rsidRPr="00377607">
        <w:rPr>
          <w:rFonts w:cs="Arial"/>
          <w:szCs w:val="24"/>
        </w:rPr>
        <w:t>une application des peines minimales en l</w:t>
      </w:r>
      <w:r>
        <w:rPr>
          <w:rFonts w:cs="Arial"/>
          <w:szCs w:val="24"/>
        </w:rPr>
        <w:t>’</w:t>
      </w:r>
      <w:r w:rsidRPr="00377607">
        <w:rPr>
          <w:rFonts w:cs="Arial"/>
          <w:szCs w:val="24"/>
        </w:rPr>
        <w:t>espèce, en particulier celle d</w:t>
      </w:r>
      <w:r>
        <w:rPr>
          <w:rFonts w:cs="Arial"/>
          <w:szCs w:val="24"/>
        </w:rPr>
        <w:t>’</w:t>
      </w:r>
      <w:r w:rsidRPr="00377607">
        <w:rPr>
          <w:rFonts w:cs="Arial"/>
          <w:szCs w:val="24"/>
        </w:rPr>
        <w:t>exclure toute autre peine que l</w:t>
      </w:r>
      <w:r>
        <w:rPr>
          <w:rFonts w:cs="Arial"/>
          <w:szCs w:val="24"/>
        </w:rPr>
        <w:t>’</w:t>
      </w:r>
      <w:r w:rsidRPr="00377607">
        <w:rPr>
          <w:rFonts w:cs="Arial"/>
          <w:szCs w:val="24"/>
        </w:rPr>
        <w:t xml:space="preserve">incarcération continue. </w:t>
      </w:r>
    </w:p>
    <w:p w14:paraId="39C83BDF" w14:textId="77777777" w:rsidR="005C67B6" w:rsidRPr="00745CB7" w:rsidRDefault="005C67B6" w:rsidP="005C67B6">
      <w:pPr>
        <w:pStyle w:val="Paragraphe"/>
        <w:spacing w:line="240" w:lineRule="auto"/>
        <w:rPr>
          <w:rFonts w:cs="Arial"/>
          <w:szCs w:val="24"/>
        </w:rPr>
      </w:pPr>
      <w:r w:rsidRPr="00377607">
        <w:rPr>
          <w:rFonts w:cs="Arial"/>
          <w:szCs w:val="24"/>
        </w:rPr>
        <w:t>J</w:t>
      </w:r>
      <w:r>
        <w:rPr>
          <w:rFonts w:cs="Arial"/>
          <w:szCs w:val="24"/>
        </w:rPr>
        <w:t>’</w:t>
      </w:r>
      <w:r w:rsidRPr="00377607">
        <w:rPr>
          <w:rFonts w:cs="Arial"/>
          <w:szCs w:val="24"/>
        </w:rPr>
        <w:t>estime toutefois qu</w:t>
      </w:r>
      <w:r>
        <w:rPr>
          <w:rFonts w:cs="Arial"/>
          <w:szCs w:val="24"/>
        </w:rPr>
        <w:t>’</w:t>
      </w:r>
      <w:r w:rsidRPr="00377607">
        <w:rPr>
          <w:rFonts w:cs="Arial"/>
          <w:szCs w:val="24"/>
        </w:rPr>
        <w:t>une erreur de principe a été commise en l</w:t>
      </w:r>
      <w:r>
        <w:rPr>
          <w:rFonts w:cs="Arial"/>
          <w:szCs w:val="24"/>
        </w:rPr>
        <w:t>’</w:t>
      </w:r>
      <w:r w:rsidRPr="00377607">
        <w:rPr>
          <w:rFonts w:cs="Arial"/>
          <w:szCs w:val="24"/>
        </w:rPr>
        <w:t>espèce. Elle réside dans le fait que les peines sont d</w:t>
      </w:r>
      <w:r>
        <w:rPr>
          <w:rFonts w:cs="Arial"/>
          <w:szCs w:val="24"/>
        </w:rPr>
        <w:t>’</w:t>
      </w:r>
      <w:r w:rsidRPr="00377607">
        <w:rPr>
          <w:rFonts w:cs="Arial"/>
          <w:szCs w:val="24"/>
        </w:rPr>
        <w:t>une clémence disproportionnée et ne reflètent pas la gravité objective et subjective des infractions ni le degré de responsabilité de la délinquante. Concrètement, l</w:t>
      </w:r>
      <w:r>
        <w:rPr>
          <w:rFonts w:cs="Arial"/>
          <w:szCs w:val="24"/>
        </w:rPr>
        <w:t>’</w:t>
      </w:r>
      <w:r w:rsidRPr="00377607">
        <w:rPr>
          <w:rFonts w:cs="Arial"/>
          <w:szCs w:val="24"/>
        </w:rPr>
        <w:t>erreur réside dans le fait que les peines infligées privilégient les objectifs de justice corrective sans accorder l</w:t>
      </w:r>
      <w:r>
        <w:rPr>
          <w:rFonts w:cs="Arial"/>
          <w:szCs w:val="24"/>
        </w:rPr>
        <w:t>’</w:t>
      </w:r>
      <w:r w:rsidRPr="00377607">
        <w:rPr>
          <w:rFonts w:cs="Arial"/>
          <w:szCs w:val="24"/>
        </w:rPr>
        <w:t xml:space="preserve">attention nécessaire aux impératifs punitifs de dénonciation et de dissuasion. </w:t>
      </w:r>
    </w:p>
    <w:p w14:paraId="51ADAB4F" w14:textId="77777777" w:rsidR="005C67B6" w:rsidRPr="00377607" w:rsidRDefault="005C67B6" w:rsidP="005C67B6">
      <w:pPr>
        <w:pStyle w:val="Paragraphe"/>
        <w:numPr>
          <w:ilvl w:val="0"/>
          <w:numId w:val="0"/>
        </w:numPr>
        <w:spacing w:before="240" w:after="0" w:line="240" w:lineRule="auto"/>
        <w:jc w:val="center"/>
        <w:rPr>
          <w:rFonts w:cs="Arial"/>
          <w:b/>
          <w:bCs/>
          <w:szCs w:val="24"/>
          <w:lang w:val="en-CA"/>
        </w:rPr>
      </w:pPr>
      <w:r w:rsidRPr="00377607">
        <w:rPr>
          <w:rFonts w:cs="Arial"/>
          <w:b/>
          <w:bCs/>
          <w:szCs w:val="24"/>
        </w:rPr>
        <w:t>VI</w:t>
      </w:r>
    </w:p>
    <w:p w14:paraId="0E91D29D" w14:textId="77777777" w:rsidR="005C67B6" w:rsidRPr="00377607" w:rsidRDefault="005C67B6" w:rsidP="005C67B6">
      <w:pPr>
        <w:pStyle w:val="Paragraphe"/>
        <w:numPr>
          <w:ilvl w:val="0"/>
          <w:numId w:val="0"/>
        </w:numPr>
        <w:spacing w:before="0" w:after="240" w:line="240" w:lineRule="auto"/>
        <w:jc w:val="center"/>
        <w:rPr>
          <w:rFonts w:cs="Arial"/>
          <w:szCs w:val="24"/>
          <w:lang w:val="en-CA"/>
        </w:rPr>
      </w:pPr>
      <w:r w:rsidRPr="00377607">
        <w:rPr>
          <w:rFonts w:cs="Arial"/>
          <w:b/>
          <w:bCs/>
          <w:szCs w:val="24"/>
        </w:rPr>
        <w:t>Une peine juste</w:t>
      </w:r>
    </w:p>
    <w:p w14:paraId="0B498D81" w14:textId="77777777" w:rsidR="005C67B6" w:rsidRPr="00745CB7" w:rsidRDefault="005C67B6" w:rsidP="005C67B6">
      <w:pPr>
        <w:pStyle w:val="Paragraphe"/>
        <w:spacing w:line="240" w:lineRule="auto"/>
        <w:rPr>
          <w:rFonts w:cs="Arial"/>
          <w:szCs w:val="24"/>
        </w:rPr>
      </w:pPr>
      <w:r w:rsidRPr="00377607">
        <w:rPr>
          <w:rFonts w:cs="Arial"/>
          <w:szCs w:val="24"/>
        </w:rPr>
        <w:t>L</w:t>
      </w:r>
      <w:r>
        <w:rPr>
          <w:rFonts w:cs="Arial"/>
          <w:szCs w:val="24"/>
        </w:rPr>
        <w:t>a conclusion d’</w:t>
      </w:r>
      <w:r w:rsidRPr="00377607">
        <w:rPr>
          <w:rFonts w:cs="Arial"/>
          <w:szCs w:val="24"/>
        </w:rPr>
        <w:t xml:space="preserve">invalidité des peines minimales oblige la Cour à </w:t>
      </w:r>
      <w:r>
        <w:rPr>
          <w:rFonts w:cs="Arial"/>
          <w:szCs w:val="24"/>
        </w:rPr>
        <w:t>infliger</w:t>
      </w:r>
      <w:r w:rsidRPr="00377607">
        <w:rPr>
          <w:rFonts w:cs="Arial"/>
          <w:szCs w:val="24"/>
        </w:rPr>
        <w:t xml:space="preserve"> de</w:t>
      </w:r>
      <w:r>
        <w:rPr>
          <w:rFonts w:cs="Arial"/>
          <w:szCs w:val="24"/>
        </w:rPr>
        <w:t xml:space="preserve"> nouvelle</w:t>
      </w:r>
      <w:r w:rsidRPr="00377607">
        <w:rPr>
          <w:rFonts w:cs="Arial"/>
          <w:szCs w:val="24"/>
        </w:rPr>
        <w:t xml:space="preserve">s peines pour production, distribution et possession </w:t>
      </w:r>
      <w:r>
        <w:rPr>
          <w:rFonts w:cs="Arial"/>
          <w:szCs w:val="24"/>
        </w:rPr>
        <w:t xml:space="preserve">de pornographie juvénile </w:t>
      </w:r>
      <w:r w:rsidRPr="00377607">
        <w:rPr>
          <w:rFonts w:cs="Arial"/>
          <w:szCs w:val="24"/>
        </w:rPr>
        <w:t xml:space="preserve">qui sont proportionnées et juste pour </w:t>
      </w:r>
      <w:r w:rsidRPr="00377607">
        <w:rPr>
          <w:rFonts w:cs="Arial"/>
          <w:i/>
          <w:iCs/>
          <w:szCs w:val="24"/>
        </w:rPr>
        <w:t>ces</w:t>
      </w:r>
      <w:r w:rsidRPr="00377607">
        <w:rPr>
          <w:rFonts w:cs="Arial"/>
          <w:szCs w:val="24"/>
        </w:rPr>
        <w:t xml:space="preserve"> infractions, commises par </w:t>
      </w:r>
      <w:r w:rsidRPr="00377607">
        <w:rPr>
          <w:rFonts w:cs="Arial"/>
          <w:i/>
          <w:iCs/>
          <w:szCs w:val="24"/>
        </w:rPr>
        <w:t>cette</w:t>
      </w:r>
      <w:r w:rsidRPr="00377607">
        <w:rPr>
          <w:rFonts w:cs="Arial"/>
          <w:szCs w:val="24"/>
        </w:rPr>
        <w:t xml:space="preserve"> délinquante, ayant causé </w:t>
      </w:r>
      <w:r w:rsidRPr="00377607">
        <w:rPr>
          <w:rFonts w:cs="Arial"/>
          <w:i/>
          <w:iCs/>
          <w:szCs w:val="24"/>
        </w:rPr>
        <w:t>ce</w:t>
      </w:r>
      <w:r w:rsidRPr="00377607">
        <w:rPr>
          <w:rFonts w:cs="Arial"/>
          <w:szCs w:val="24"/>
        </w:rPr>
        <w:t xml:space="preserve"> tort, dans </w:t>
      </w:r>
      <w:r w:rsidRPr="00377607">
        <w:rPr>
          <w:rFonts w:cs="Arial"/>
          <w:i/>
          <w:iCs/>
          <w:szCs w:val="24"/>
        </w:rPr>
        <w:t>cette</w:t>
      </w:r>
      <w:r w:rsidRPr="00377607">
        <w:rPr>
          <w:rFonts w:cs="Arial"/>
          <w:szCs w:val="24"/>
        </w:rPr>
        <w:t xml:space="preserve"> communauté</w:t>
      </w:r>
      <w:r>
        <w:rPr>
          <w:rStyle w:val="Appelnotedebasdep"/>
          <w:rFonts w:cs="Arial"/>
          <w:szCs w:val="24"/>
        </w:rPr>
        <w:footnoteReference w:id="54"/>
      </w:r>
      <w:r>
        <w:rPr>
          <w:rFonts w:cs="Arial"/>
          <w:szCs w:val="24"/>
        </w:rPr>
        <w:t>.</w:t>
      </w:r>
      <w:r w:rsidRPr="00377607">
        <w:rPr>
          <w:rFonts w:cs="Arial"/>
          <w:szCs w:val="24"/>
        </w:rPr>
        <w:t xml:space="preserve"> </w:t>
      </w:r>
    </w:p>
    <w:p w14:paraId="1FC657BF" w14:textId="77777777" w:rsidR="005C67B6" w:rsidRPr="00745CB7" w:rsidRDefault="005C67B6" w:rsidP="005C67B6">
      <w:pPr>
        <w:pStyle w:val="Paragraphe"/>
        <w:spacing w:line="240" w:lineRule="auto"/>
        <w:rPr>
          <w:rFonts w:cs="Arial"/>
          <w:szCs w:val="24"/>
        </w:rPr>
      </w:pPr>
      <w:r w:rsidRPr="00377607">
        <w:rPr>
          <w:rFonts w:cs="Arial"/>
          <w:szCs w:val="24"/>
        </w:rPr>
        <w:t>La jurisprudence actuelle ne laisse planer aucun doute quant au fait qu</w:t>
      </w:r>
      <w:r>
        <w:rPr>
          <w:rFonts w:cs="Arial"/>
          <w:szCs w:val="24"/>
        </w:rPr>
        <w:t xml:space="preserve">e, pour toute </w:t>
      </w:r>
      <w:r w:rsidRPr="00377607">
        <w:rPr>
          <w:rFonts w:cs="Arial"/>
          <w:szCs w:val="24"/>
        </w:rPr>
        <w:t>infraction d</w:t>
      </w:r>
      <w:r>
        <w:rPr>
          <w:rFonts w:cs="Arial"/>
          <w:szCs w:val="24"/>
        </w:rPr>
        <w:t>’</w:t>
      </w:r>
      <w:r w:rsidRPr="00377607">
        <w:rPr>
          <w:rFonts w:cs="Arial"/>
          <w:szCs w:val="24"/>
        </w:rPr>
        <w:t>ordre sexuel contre des enfants</w:t>
      </w:r>
      <w:r>
        <w:rPr>
          <w:rFonts w:cs="Arial"/>
          <w:szCs w:val="24"/>
        </w:rPr>
        <w:t xml:space="preserve">, </w:t>
      </w:r>
      <w:r w:rsidRPr="00377607">
        <w:rPr>
          <w:rFonts w:cs="Arial"/>
          <w:szCs w:val="24"/>
        </w:rPr>
        <w:t>il est essentiel de donner effet aux objectifs punitifs</w:t>
      </w:r>
      <w:r>
        <w:rPr>
          <w:rStyle w:val="Appelnotedebasdep"/>
          <w:rFonts w:cs="Arial"/>
          <w:szCs w:val="24"/>
        </w:rPr>
        <w:footnoteReference w:id="55"/>
      </w:r>
      <w:r w:rsidRPr="00377607">
        <w:rPr>
          <w:rFonts w:cs="Arial"/>
          <w:szCs w:val="24"/>
        </w:rPr>
        <w:t xml:space="preserve">, mais </w:t>
      </w:r>
      <w:r>
        <w:rPr>
          <w:rFonts w:cs="Arial"/>
          <w:szCs w:val="24"/>
        </w:rPr>
        <w:t>on trouve dans d</w:t>
      </w:r>
      <w:r w:rsidRPr="00377607">
        <w:rPr>
          <w:rFonts w:cs="Arial"/>
          <w:szCs w:val="24"/>
        </w:rPr>
        <w:t xml:space="preserve">es décisions récentes un large éventail de peines </w:t>
      </w:r>
      <w:r>
        <w:rPr>
          <w:rFonts w:cs="Arial"/>
          <w:szCs w:val="24"/>
        </w:rPr>
        <w:t>pour des</w:t>
      </w:r>
      <w:r w:rsidRPr="00377607">
        <w:rPr>
          <w:rFonts w:cs="Arial"/>
          <w:szCs w:val="24"/>
        </w:rPr>
        <w:t xml:space="preserve"> infractions de pédopornographie</w:t>
      </w:r>
      <w:r>
        <w:rPr>
          <w:rStyle w:val="Appelnotedebasdep"/>
          <w:rFonts w:cs="Arial"/>
          <w:szCs w:val="24"/>
        </w:rPr>
        <w:footnoteReference w:id="56"/>
      </w:r>
      <w:r>
        <w:rPr>
          <w:rFonts w:cs="Arial"/>
          <w:szCs w:val="24"/>
        </w:rPr>
        <w:t>.</w:t>
      </w:r>
      <w:r w:rsidRPr="00377607">
        <w:rPr>
          <w:rFonts w:cs="Arial"/>
          <w:szCs w:val="24"/>
        </w:rPr>
        <w:t xml:space="preserve"> Cet éventail est attribuable en grande partie à l</w:t>
      </w:r>
      <w:r>
        <w:rPr>
          <w:rFonts w:cs="Arial"/>
          <w:szCs w:val="24"/>
        </w:rPr>
        <w:t>’</w:t>
      </w:r>
      <w:r w:rsidRPr="00377607">
        <w:rPr>
          <w:rFonts w:cs="Arial"/>
          <w:szCs w:val="24"/>
        </w:rPr>
        <w:t xml:space="preserve">étendue des comportements qui peuvent être visés par ces infractions. Il est aussi attribuable à la variété de facteurs qui </w:t>
      </w:r>
      <w:r>
        <w:rPr>
          <w:rFonts w:cs="Arial"/>
          <w:szCs w:val="24"/>
        </w:rPr>
        <w:t>peuvent s’avérer</w:t>
      </w:r>
      <w:r w:rsidRPr="00377607">
        <w:rPr>
          <w:rFonts w:cs="Arial"/>
          <w:szCs w:val="24"/>
        </w:rPr>
        <w:t xml:space="preserve"> pertinents </w:t>
      </w:r>
      <w:r>
        <w:rPr>
          <w:rFonts w:cs="Arial"/>
          <w:szCs w:val="24"/>
        </w:rPr>
        <w:t>dans</w:t>
      </w:r>
      <w:r w:rsidRPr="00377607">
        <w:rPr>
          <w:rFonts w:cs="Arial"/>
          <w:szCs w:val="24"/>
        </w:rPr>
        <w:t xml:space="preserve"> chaque affaire, tous les facteurs n</w:t>
      </w:r>
      <w:r>
        <w:rPr>
          <w:rFonts w:cs="Arial"/>
          <w:szCs w:val="24"/>
        </w:rPr>
        <w:t>’</w:t>
      </w:r>
      <w:r w:rsidRPr="00377607">
        <w:rPr>
          <w:rFonts w:cs="Arial"/>
          <w:szCs w:val="24"/>
        </w:rPr>
        <w:t>ayant pas le même poids dans l</w:t>
      </w:r>
      <w:r>
        <w:rPr>
          <w:rFonts w:cs="Arial"/>
          <w:szCs w:val="24"/>
        </w:rPr>
        <w:t>’</w:t>
      </w:r>
      <w:r w:rsidRPr="00377607">
        <w:rPr>
          <w:rFonts w:cs="Arial"/>
          <w:szCs w:val="24"/>
        </w:rPr>
        <w:t>évaluation de la gravité de</w:t>
      </w:r>
      <w:r>
        <w:rPr>
          <w:rFonts w:cs="Arial"/>
          <w:szCs w:val="24"/>
        </w:rPr>
        <w:t xml:space="preserve"> l’</w:t>
      </w:r>
      <w:r w:rsidRPr="00377607">
        <w:rPr>
          <w:rFonts w:cs="Arial"/>
          <w:szCs w:val="24"/>
        </w:rPr>
        <w:t>infraction ou du degré de responsabilité du délinquant. Force est toutefois de constater que cet éventail de peines révèle non seulement une grande variété de peines</w:t>
      </w:r>
      <w:r>
        <w:rPr>
          <w:rFonts w:cs="Arial"/>
          <w:szCs w:val="24"/>
        </w:rPr>
        <w:t>,</w:t>
      </w:r>
      <w:r w:rsidRPr="00377607">
        <w:rPr>
          <w:rFonts w:cs="Arial"/>
          <w:szCs w:val="24"/>
        </w:rPr>
        <w:t xml:space="preserve"> mais aussi une grande disparité entre celles-ci</w:t>
      </w:r>
      <w:r>
        <w:rPr>
          <w:rStyle w:val="Appelnotedebasdep"/>
          <w:rFonts w:cs="Arial"/>
          <w:szCs w:val="24"/>
        </w:rPr>
        <w:footnoteReference w:id="57"/>
      </w:r>
      <w:r>
        <w:rPr>
          <w:rFonts w:cs="Arial"/>
          <w:szCs w:val="24"/>
        </w:rPr>
        <w:t>.</w:t>
      </w:r>
      <w:r w:rsidRPr="00377607">
        <w:rPr>
          <w:rFonts w:cs="Arial"/>
          <w:szCs w:val="24"/>
        </w:rPr>
        <w:t xml:space="preserve">  </w:t>
      </w:r>
    </w:p>
    <w:p w14:paraId="1720F19D" w14:textId="77777777" w:rsidR="005C67B6" w:rsidRPr="00745CB7" w:rsidRDefault="005C67B6" w:rsidP="005C67B6">
      <w:pPr>
        <w:pStyle w:val="Paragraphe"/>
        <w:spacing w:line="240" w:lineRule="auto"/>
        <w:rPr>
          <w:rFonts w:cs="Arial"/>
          <w:szCs w:val="24"/>
        </w:rPr>
      </w:pPr>
      <w:r w:rsidRPr="00377607">
        <w:rPr>
          <w:rFonts w:cs="Arial"/>
          <w:szCs w:val="24"/>
        </w:rPr>
        <w:t xml:space="preserve">Le seul </w:t>
      </w:r>
      <w:r>
        <w:rPr>
          <w:rFonts w:cs="Arial"/>
          <w:szCs w:val="24"/>
        </w:rPr>
        <w:t>guide</w:t>
      </w:r>
      <w:r w:rsidRPr="00377607">
        <w:rPr>
          <w:rFonts w:cs="Arial"/>
          <w:szCs w:val="24"/>
        </w:rPr>
        <w:t xml:space="preserve"> efficace </w:t>
      </w:r>
      <w:r>
        <w:rPr>
          <w:rFonts w:cs="Arial"/>
          <w:szCs w:val="24"/>
        </w:rPr>
        <w:t>pour éviter</w:t>
      </w:r>
      <w:r w:rsidRPr="00377607">
        <w:rPr>
          <w:rFonts w:cs="Arial"/>
          <w:szCs w:val="24"/>
        </w:rPr>
        <w:t xml:space="preserve"> la disparité consiste à </w:t>
      </w:r>
      <w:r>
        <w:rPr>
          <w:rFonts w:cs="Arial"/>
          <w:szCs w:val="24"/>
        </w:rPr>
        <w:t>faire preuve d’</w:t>
      </w:r>
      <w:r w:rsidRPr="00377607">
        <w:rPr>
          <w:rFonts w:cs="Arial"/>
          <w:szCs w:val="24"/>
        </w:rPr>
        <w:t>exempla</w:t>
      </w:r>
      <w:r>
        <w:rPr>
          <w:rFonts w:cs="Arial"/>
          <w:szCs w:val="24"/>
        </w:rPr>
        <w:t>rité</w:t>
      </w:r>
      <w:r w:rsidRPr="00377607">
        <w:rPr>
          <w:rFonts w:cs="Arial"/>
          <w:szCs w:val="24"/>
        </w:rPr>
        <w:t xml:space="preserve"> en matière de détermination de</w:t>
      </w:r>
      <w:r>
        <w:rPr>
          <w:rFonts w:cs="Arial"/>
          <w:szCs w:val="24"/>
        </w:rPr>
        <w:t>s</w:t>
      </w:r>
      <w:r w:rsidRPr="00377607">
        <w:rPr>
          <w:rFonts w:cs="Arial"/>
          <w:szCs w:val="24"/>
        </w:rPr>
        <w:t xml:space="preserve"> peines pour infractions d</w:t>
      </w:r>
      <w:r>
        <w:rPr>
          <w:rFonts w:cs="Arial"/>
          <w:szCs w:val="24"/>
        </w:rPr>
        <w:t>’</w:t>
      </w:r>
      <w:r w:rsidRPr="00377607">
        <w:rPr>
          <w:rFonts w:cs="Arial"/>
          <w:szCs w:val="24"/>
        </w:rPr>
        <w:t>ordre sexuel contre des mineurs</w:t>
      </w:r>
      <w:r>
        <w:rPr>
          <w:rFonts w:cs="Arial"/>
          <w:szCs w:val="24"/>
        </w:rPr>
        <w:t xml:space="preserve"> de façon à</w:t>
      </w:r>
      <w:r w:rsidRPr="00377607">
        <w:rPr>
          <w:rFonts w:cs="Arial"/>
          <w:szCs w:val="24"/>
        </w:rPr>
        <w:t xml:space="preserve"> marque</w:t>
      </w:r>
      <w:r>
        <w:rPr>
          <w:rFonts w:cs="Arial"/>
          <w:szCs w:val="24"/>
        </w:rPr>
        <w:t>r</w:t>
      </w:r>
      <w:r w:rsidRPr="00377607">
        <w:rPr>
          <w:rFonts w:cs="Arial"/>
          <w:szCs w:val="24"/>
        </w:rPr>
        <w:t xml:space="preserve"> dans chaque cas une </w:t>
      </w:r>
      <w:r>
        <w:rPr>
          <w:rFonts w:cs="Arial"/>
          <w:szCs w:val="24"/>
        </w:rPr>
        <w:t>sanc</w:t>
      </w:r>
      <w:r w:rsidRPr="00377607">
        <w:rPr>
          <w:rFonts w:cs="Arial"/>
          <w:szCs w:val="24"/>
        </w:rPr>
        <w:t xml:space="preserve">tion </w:t>
      </w:r>
      <w:r>
        <w:rPr>
          <w:rFonts w:cs="Arial"/>
          <w:szCs w:val="24"/>
        </w:rPr>
        <w:t xml:space="preserve">qui soit </w:t>
      </w:r>
      <w:r w:rsidRPr="00377607">
        <w:rPr>
          <w:rFonts w:cs="Arial"/>
          <w:szCs w:val="24"/>
        </w:rPr>
        <w:t>proportionn</w:t>
      </w:r>
      <w:r>
        <w:rPr>
          <w:rFonts w:cs="Arial"/>
          <w:szCs w:val="24"/>
        </w:rPr>
        <w:t>elle au</w:t>
      </w:r>
      <w:r w:rsidRPr="00377607">
        <w:rPr>
          <w:rFonts w:cs="Arial"/>
          <w:szCs w:val="24"/>
        </w:rPr>
        <w:t xml:space="preserve"> tort causé à des victimes vulnérables. Concrètement, le consensus </w:t>
      </w:r>
      <w:r>
        <w:rPr>
          <w:rFonts w:cs="Arial"/>
          <w:szCs w:val="24"/>
        </w:rPr>
        <w:t xml:space="preserve">existant </w:t>
      </w:r>
      <w:r w:rsidRPr="00377607">
        <w:rPr>
          <w:rFonts w:cs="Arial"/>
          <w:szCs w:val="24"/>
        </w:rPr>
        <w:t>au sein de la jurisprudenc</w:t>
      </w:r>
      <w:r>
        <w:rPr>
          <w:rFonts w:cs="Arial"/>
          <w:szCs w:val="24"/>
        </w:rPr>
        <w:t>e veu</w:t>
      </w:r>
      <w:r w:rsidRPr="00377607">
        <w:rPr>
          <w:rFonts w:cs="Arial"/>
          <w:szCs w:val="24"/>
        </w:rPr>
        <w:t>t que les peines d</w:t>
      </w:r>
      <w:r>
        <w:rPr>
          <w:rFonts w:cs="Arial"/>
          <w:szCs w:val="24"/>
        </w:rPr>
        <w:t>’</w:t>
      </w:r>
      <w:r w:rsidRPr="00377607">
        <w:rPr>
          <w:rFonts w:cs="Arial"/>
          <w:szCs w:val="24"/>
        </w:rPr>
        <w:t>emprisonnement continu so</w:t>
      </w:r>
      <w:r>
        <w:rPr>
          <w:rFonts w:cs="Arial"/>
          <w:szCs w:val="24"/>
        </w:rPr>
        <w:t>ie</w:t>
      </w:r>
      <w:r w:rsidRPr="00377607">
        <w:rPr>
          <w:rFonts w:cs="Arial"/>
          <w:szCs w:val="24"/>
        </w:rPr>
        <w:t>nt la norme et que tout écart par rapport à cette norme doi</w:t>
      </w:r>
      <w:r>
        <w:rPr>
          <w:rFonts w:cs="Arial"/>
          <w:szCs w:val="24"/>
        </w:rPr>
        <w:t>ve</w:t>
      </w:r>
      <w:r w:rsidRPr="00377607">
        <w:rPr>
          <w:rFonts w:cs="Arial"/>
          <w:szCs w:val="24"/>
        </w:rPr>
        <w:t xml:space="preserve"> être justifié. </w:t>
      </w:r>
      <w:r>
        <w:rPr>
          <w:rFonts w:cs="Arial"/>
          <w:szCs w:val="24"/>
        </w:rPr>
        <w:t>À cette fin</w:t>
      </w:r>
      <w:r w:rsidRPr="00377607">
        <w:rPr>
          <w:rFonts w:cs="Arial"/>
          <w:szCs w:val="24"/>
        </w:rPr>
        <w:t xml:space="preserve">, la jurisprudence insiste sur divers facteurs pour évaluer la gravité de l’infraction et le degré de responsabilité du délinquant. Ces facteurs incluent la nature du matériel en cause et sa quantité, la durée de la conduite infractionnelle et son ampleur. </w:t>
      </w:r>
    </w:p>
    <w:p w14:paraId="65E1C27D" w14:textId="77777777" w:rsidR="005C67B6" w:rsidRPr="00745CB7" w:rsidRDefault="005C67B6" w:rsidP="005C67B6">
      <w:pPr>
        <w:pStyle w:val="Paragraphe"/>
        <w:spacing w:line="240" w:lineRule="auto"/>
        <w:rPr>
          <w:rFonts w:cs="Arial"/>
          <w:szCs w:val="24"/>
        </w:rPr>
      </w:pPr>
      <w:r w:rsidRPr="00377607">
        <w:rPr>
          <w:rFonts w:cs="Arial"/>
          <w:szCs w:val="24"/>
        </w:rPr>
        <w:t xml:space="preserve">Malgré la disparité </w:t>
      </w:r>
      <w:r>
        <w:rPr>
          <w:rFonts w:cs="Arial"/>
          <w:szCs w:val="24"/>
        </w:rPr>
        <w:t>existante entre certains</w:t>
      </w:r>
      <w:r w:rsidRPr="00377607">
        <w:rPr>
          <w:rFonts w:cs="Arial"/>
          <w:szCs w:val="24"/>
        </w:rPr>
        <w:t xml:space="preserve"> </w:t>
      </w:r>
      <w:r>
        <w:rPr>
          <w:rFonts w:cs="Arial"/>
          <w:szCs w:val="24"/>
        </w:rPr>
        <w:t>jugements</w:t>
      </w:r>
      <w:r w:rsidRPr="00377607">
        <w:rPr>
          <w:rFonts w:cs="Arial"/>
          <w:szCs w:val="24"/>
        </w:rPr>
        <w:t xml:space="preserve">, la jurisprudence </w:t>
      </w:r>
      <w:r>
        <w:rPr>
          <w:rFonts w:cs="Arial"/>
          <w:szCs w:val="24"/>
        </w:rPr>
        <w:t xml:space="preserve">demeure </w:t>
      </w:r>
      <w:r w:rsidRPr="00377607">
        <w:rPr>
          <w:rFonts w:cs="Arial"/>
          <w:szCs w:val="24"/>
        </w:rPr>
        <w:t>constante sur plusieurs points. Chaque jugement insiste sur la gravité des infractions de pédopornographie. Ils soulignent que ce type d</w:t>
      </w:r>
      <w:r>
        <w:rPr>
          <w:rFonts w:cs="Arial"/>
          <w:szCs w:val="24"/>
        </w:rPr>
        <w:t>’</w:t>
      </w:r>
      <w:r w:rsidRPr="00377607">
        <w:rPr>
          <w:rFonts w:cs="Arial"/>
          <w:szCs w:val="24"/>
        </w:rPr>
        <w:t>infraction cause un préjudice grave et permanent à des victimes qui sont vulnérables. Cette insistance est évidente depuis aussi longtemps qu</w:t>
      </w:r>
      <w:r>
        <w:rPr>
          <w:rFonts w:cs="Arial"/>
          <w:szCs w:val="24"/>
        </w:rPr>
        <w:t>’existent</w:t>
      </w:r>
      <w:r w:rsidRPr="00377607">
        <w:rPr>
          <w:rFonts w:cs="Arial"/>
          <w:szCs w:val="24"/>
        </w:rPr>
        <w:t xml:space="preserve"> les infractions </w:t>
      </w:r>
      <w:r>
        <w:rPr>
          <w:rFonts w:cs="Arial"/>
          <w:szCs w:val="24"/>
        </w:rPr>
        <w:t>de</w:t>
      </w:r>
      <w:r w:rsidRPr="00377607">
        <w:rPr>
          <w:rFonts w:cs="Arial"/>
          <w:szCs w:val="24"/>
        </w:rPr>
        <w:t xml:space="preserve"> p</w:t>
      </w:r>
      <w:r>
        <w:rPr>
          <w:rFonts w:cs="Arial"/>
          <w:szCs w:val="24"/>
        </w:rPr>
        <w:t>édop</w:t>
      </w:r>
      <w:r w:rsidRPr="00377607">
        <w:rPr>
          <w:rFonts w:cs="Arial"/>
          <w:szCs w:val="24"/>
        </w:rPr>
        <w:t>ornographie; elle s</w:t>
      </w:r>
      <w:r>
        <w:rPr>
          <w:rFonts w:cs="Arial"/>
          <w:szCs w:val="24"/>
        </w:rPr>
        <w:t>’</w:t>
      </w:r>
      <w:r w:rsidRPr="00377607">
        <w:rPr>
          <w:rFonts w:cs="Arial"/>
          <w:szCs w:val="24"/>
        </w:rPr>
        <w:t xml:space="preserve">est intensifiée au fil des modifications apportées au </w:t>
      </w:r>
      <w:r w:rsidRPr="00377607">
        <w:rPr>
          <w:rFonts w:cs="Arial"/>
          <w:i/>
          <w:iCs/>
          <w:szCs w:val="24"/>
        </w:rPr>
        <w:t xml:space="preserve">Code criminel </w:t>
      </w:r>
      <w:r w:rsidRPr="00377607">
        <w:rPr>
          <w:rFonts w:cs="Arial"/>
          <w:szCs w:val="24"/>
        </w:rPr>
        <w:t>et de l</w:t>
      </w:r>
      <w:r>
        <w:rPr>
          <w:rFonts w:cs="Arial"/>
          <w:szCs w:val="24"/>
        </w:rPr>
        <w:t>’</w:t>
      </w:r>
      <w:r w:rsidRPr="00377607">
        <w:rPr>
          <w:rFonts w:cs="Arial"/>
          <w:szCs w:val="24"/>
        </w:rPr>
        <w:t>évolution de la jurisprudence des tribunaux d</w:t>
      </w:r>
      <w:r>
        <w:rPr>
          <w:rFonts w:cs="Arial"/>
          <w:szCs w:val="24"/>
        </w:rPr>
        <w:t>’</w:t>
      </w:r>
      <w:r w:rsidRPr="00377607">
        <w:rPr>
          <w:rFonts w:cs="Arial"/>
          <w:szCs w:val="24"/>
        </w:rPr>
        <w:t>appel</w:t>
      </w:r>
      <w:r>
        <w:rPr>
          <w:rStyle w:val="Appelnotedebasdep"/>
          <w:rFonts w:cs="Arial"/>
          <w:szCs w:val="24"/>
        </w:rPr>
        <w:footnoteReference w:id="58"/>
      </w:r>
      <w:r>
        <w:rPr>
          <w:rFonts w:cs="Arial"/>
          <w:szCs w:val="24"/>
        </w:rPr>
        <w:t>.</w:t>
      </w:r>
      <w:r w:rsidRPr="00377607">
        <w:rPr>
          <w:rFonts w:cs="Arial"/>
          <w:szCs w:val="24"/>
        </w:rPr>
        <w:t xml:space="preserve"> Depuis l</w:t>
      </w:r>
      <w:r>
        <w:rPr>
          <w:rFonts w:cs="Arial"/>
          <w:szCs w:val="24"/>
        </w:rPr>
        <w:t>’</w:t>
      </w:r>
      <w:r w:rsidRPr="00377607">
        <w:rPr>
          <w:rFonts w:cs="Arial"/>
          <w:szCs w:val="24"/>
        </w:rPr>
        <w:t xml:space="preserve">arrêt </w:t>
      </w:r>
      <w:r w:rsidRPr="00377607">
        <w:rPr>
          <w:rFonts w:cs="Arial"/>
          <w:i/>
          <w:iCs/>
          <w:szCs w:val="24"/>
        </w:rPr>
        <w:t xml:space="preserve">Friesen </w:t>
      </w:r>
      <w:r w:rsidRPr="00377607">
        <w:rPr>
          <w:rFonts w:cs="Arial"/>
          <w:szCs w:val="24"/>
        </w:rPr>
        <w:t xml:space="preserve">de la Cour suprême, toute peine qui ne donne pas </w:t>
      </w:r>
      <w:r>
        <w:rPr>
          <w:rFonts w:cs="Arial"/>
          <w:szCs w:val="24"/>
        </w:rPr>
        <w:t xml:space="preserve">suffisamment </w:t>
      </w:r>
      <w:r w:rsidRPr="00377607">
        <w:rPr>
          <w:rFonts w:cs="Arial"/>
          <w:szCs w:val="24"/>
        </w:rPr>
        <w:t xml:space="preserve">effet aux objectifs punitifs est susceptible de révision. </w:t>
      </w:r>
    </w:p>
    <w:p w14:paraId="20EF26EE" w14:textId="77777777" w:rsidR="005C67B6" w:rsidRPr="00745CB7" w:rsidRDefault="005C67B6" w:rsidP="005C67B6">
      <w:pPr>
        <w:pStyle w:val="Paragraphe"/>
        <w:spacing w:line="240" w:lineRule="auto"/>
        <w:rPr>
          <w:rFonts w:cs="Arial"/>
          <w:szCs w:val="24"/>
        </w:rPr>
      </w:pPr>
      <w:r w:rsidRPr="00377607">
        <w:rPr>
          <w:rFonts w:cs="Arial"/>
          <w:szCs w:val="24"/>
        </w:rPr>
        <w:t xml:space="preserve">Dans toutes ces affaires, il </w:t>
      </w:r>
      <w:r>
        <w:rPr>
          <w:rFonts w:cs="Arial"/>
          <w:szCs w:val="24"/>
        </w:rPr>
        <w:t>est</w:t>
      </w:r>
      <w:r w:rsidRPr="00377607">
        <w:rPr>
          <w:rFonts w:cs="Arial"/>
          <w:szCs w:val="24"/>
        </w:rPr>
        <w:t xml:space="preserve"> confirmé que les objectifs de dénonciation et de dissuasion doivent primer en matière d</w:t>
      </w:r>
      <w:r>
        <w:rPr>
          <w:rFonts w:cs="Arial"/>
          <w:szCs w:val="24"/>
        </w:rPr>
        <w:t>’</w:t>
      </w:r>
      <w:r w:rsidRPr="00377607">
        <w:rPr>
          <w:rFonts w:cs="Arial"/>
          <w:szCs w:val="24"/>
        </w:rPr>
        <w:t xml:space="preserve">infractions </w:t>
      </w:r>
      <w:r>
        <w:rPr>
          <w:rFonts w:cs="Arial"/>
          <w:szCs w:val="24"/>
        </w:rPr>
        <w:t xml:space="preserve">de </w:t>
      </w:r>
      <w:r w:rsidRPr="00377607">
        <w:rPr>
          <w:rFonts w:cs="Arial"/>
          <w:szCs w:val="24"/>
        </w:rPr>
        <w:t>pédopornographie et de n</w:t>
      </w:r>
      <w:r>
        <w:rPr>
          <w:rFonts w:cs="Arial"/>
          <w:szCs w:val="24"/>
        </w:rPr>
        <w:t>’</w:t>
      </w:r>
      <w:r w:rsidRPr="00377607">
        <w:rPr>
          <w:rFonts w:cs="Arial"/>
          <w:szCs w:val="24"/>
        </w:rPr>
        <w:t>importe quelle infraction d</w:t>
      </w:r>
      <w:r>
        <w:rPr>
          <w:rFonts w:cs="Arial"/>
          <w:szCs w:val="24"/>
        </w:rPr>
        <w:t>’</w:t>
      </w:r>
      <w:r w:rsidRPr="00377607">
        <w:rPr>
          <w:rFonts w:cs="Arial"/>
          <w:szCs w:val="24"/>
        </w:rPr>
        <w:t>ordre sexuel commise contre des enfant</w:t>
      </w:r>
      <w:r>
        <w:rPr>
          <w:rFonts w:cs="Arial"/>
          <w:szCs w:val="24"/>
        </w:rPr>
        <w:t>s</w:t>
      </w:r>
      <w:r>
        <w:rPr>
          <w:rStyle w:val="Appelnotedebasdep"/>
          <w:rFonts w:cs="Arial"/>
          <w:szCs w:val="24"/>
        </w:rPr>
        <w:footnoteReference w:id="59"/>
      </w:r>
      <w:r>
        <w:rPr>
          <w:rFonts w:cs="Arial"/>
          <w:szCs w:val="24"/>
        </w:rPr>
        <w:t>.</w:t>
      </w:r>
      <w:r w:rsidRPr="00377607">
        <w:rPr>
          <w:rFonts w:cs="Arial"/>
          <w:szCs w:val="24"/>
        </w:rPr>
        <w:t xml:space="preserve"> Ces objectifs doivent être formulés de manière proportionnée </w:t>
      </w:r>
      <w:r>
        <w:rPr>
          <w:rFonts w:cs="Arial"/>
          <w:szCs w:val="24"/>
        </w:rPr>
        <w:t>à la situation</w:t>
      </w:r>
      <w:r w:rsidRPr="00377607">
        <w:rPr>
          <w:rFonts w:cs="Arial"/>
          <w:szCs w:val="24"/>
        </w:rPr>
        <w:t xml:space="preserve"> de chaque délinquant et de façon à exprimer une condamnation générale sans équivoque. Ils doivent par ailleurs être formulés de manière à permettre la réalisation des autres objectifs pertinents</w:t>
      </w:r>
      <w:r>
        <w:rPr>
          <w:rStyle w:val="Appelnotedebasdep"/>
          <w:rFonts w:cs="Arial"/>
          <w:szCs w:val="24"/>
        </w:rPr>
        <w:footnoteReference w:id="60"/>
      </w:r>
      <w:r>
        <w:rPr>
          <w:rFonts w:cs="Arial"/>
          <w:szCs w:val="24"/>
        </w:rPr>
        <w:t>.</w:t>
      </w:r>
    </w:p>
    <w:p w14:paraId="11B5330F" w14:textId="77777777" w:rsidR="005C67B6" w:rsidRPr="00745CB7" w:rsidRDefault="005C67B6" w:rsidP="005C67B6">
      <w:pPr>
        <w:pStyle w:val="Paragraphe"/>
        <w:spacing w:line="240" w:lineRule="auto"/>
        <w:rPr>
          <w:rFonts w:cs="Arial"/>
          <w:szCs w:val="24"/>
        </w:rPr>
      </w:pPr>
      <w:r w:rsidRPr="00377607">
        <w:rPr>
          <w:rFonts w:cs="Arial"/>
          <w:szCs w:val="24"/>
        </w:rPr>
        <w:t xml:space="preserve">Dans presque toutes les causes de </w:t>
      </w:r>
      <w:r>
        <w:rPr>
          <w:rFonts w:cs="Arial"/>
          <w:szCs w:val="24"/>
        </w:rPr>
        <w:t>pédo</w:t>
      </w:r>
      <w:r w:rsidRPr="00377607">
        <w:rPr>
          <w:rFonts w:cs="Arial"/>
          <w:szCs w:val="24"/>
        </w:rPr>
        <w:t>pornographie, la norme est la privation de liberté sous une forme quelconque. Une peine d</w:t>
      </w:r>
      <w:r>
        <w:rPr>
          <w:rFonts w:cs="Arial"/>
          <w:szCs w:val="24"/>
        </w:rPr>
        <w:t>’</w:t>
      </w:r>
      <w:r w:rsidRPr="00377607">
        <w:rPr>
          <w:rFonts w:cs="Arial"/>
          <w:szCs w:val="24"/>
        </w:rPr>
        <w:t>emprisonnement continue est la forme la plus évidente, bien que sa durée puisse également varier. Une peine d</w:t>
      </w:r>
      <w:r>
        <w:rPr>
          <w:rFonts w:cs="Arial"/>
          <w:szCs w:val="24"/>
        </w:rPr>
        <w:t>’</w:t>
      </w:r>
      <w:r w:rsidRPr="00377607">
        <w:rPr>
          <w:rFonts w:cs="Arial"/>
          <w:szCs w:val="24"/>
        </w:rPr>
        <w:t>emprisonnement avec sursis de durée variable assortie de conditions plus ou moins restrictives donne aussi lieu à une privation de liberté</w:t>
      </w:r>
      <w:r>
        <w:rPr>
          <w:rStyle w:val="Appelnotedebasdep"/>
          <w:rFonts w:cs="Arial"/>
          <w:szCs w:val="24"/>
        </w:rPr>
        <w:footnoteReference w:id="61"/>
      </w:r>
      <w:r>
        <w:rPr>
          <w:rFonts w:cs="Arial"/>
          <w:szCs w:val="24"/>
        </w:rPr>
        <w:t>.</w:t>
      </w:r>
      <w:r w:rsidRPr="00377607">
        <w:rPr>
          <w:rFonts w:cs="Arial"/>
          <w:szCs w:val="24"/>
        </w:rPr>
        <w:t xml:space="preserve"> Une peine discontinue entraîne une perte de liberté. Un sursis au prononcé de la peine assorti de conditions de probation est un autre moyen de restreindre la liberté. Là encore, le principe qui doit prévaloir pour chacune de ces options est le principe de la proportionnalité. </w:t>
      </w:r>
    </w:p>
    <w:p w14:paraId="6F747B92" w14:textId="77777777" w:rsidR="005C67B6" w:rsidRPr="00745CB7" w:rsidRDefault="005C67B6" w:rsidP="005C67B6">
      <w:pPr>
        <w:pStyle w:val="Paragraphe"/>
        <w:spacing w:line="240" w:lineRule="auto"/>
        <w:rPr>
          <w:rFonts w:cs="Arial"/>
          <w:szCs w:val="24"/>
        </w:rPr>
      </w:pPr>
      <w:r w:rsidRPr="00377607">
        <w:rPr>
          <w:rFonts w:cs="Arial"/>
          <w:szCs w:val="24"/>
        </w:rPr>
        <w:t>La norme d</w:t>
      </w:r>
      <w:r>
        <w:rPr>
          <w:rFonts w:cs="Arial"/>
          <w:szCs w:val="24"/>
        </w:rPr>
        <w:t>’</w:t>
      </w:r>
      <w:r w:rsidRPr="00377607">
        <w:rPr>
          <w:rFonts w:cs="Arial"/>
          <w:szCs w:val="24"/>
        </w:rPr>
        <w:t>incarcération continue n</w:t>
      </w:r>
      <w:r>
        <w:rPr>
          <w:rFonts w:cs="Arial"/>
          <w:szCs w:val="24"/>
        </w:rPr>
        <w:t>’</w:t>
      </w:r>
      <w:r w:rsidRPr="00377607">
        <w:rPr>
          <w:rFonts w:cs="Arial"/>
          <w:szCs w:val="24"/>
        </w:rPr>
        <w:t xml:space="preserve">est pas immuable. Dans </w:t>
      </w:r>
      <w:r w:rsidRPr="00745CB7">
        <w:rPr>
          <w:rFonts w:cs="Arial"/>
          <w:i/>
          <w:iCs/>
          <w:szCs w:val="24"/>
        </w:rPr>
        <w:t>J</w:t>
      </w:r>
      <w:r w:rsidRPr="00377607">
        <w:rPr>
          <w:rFonts w:cs="Arial"/>
          <w:i/>
          <w:iCs/>
          <w:szCs w:val="24"/>
        </w:rPr>
        <w:t>oly</w:t>
      </w:r>
      <w:r>
        <w:rPr>
          <w:rStyle w:val="Appelnotedebasdep"/>
          <w:rFonts w:cs="Arial"/>
          <w:szCs w:val="24"/>
        </w:rPr>
        <w:footnoteReference w:id="62"/>
      </w:r>
      <w:r w:rsidRPr="00377607">
        <w:rPr>
          <w:rFonts w:cs="Arial"/>
          <w:szCs w:val="24"/>
        </w:rPr>
        <w:t xml:space="preserve"> par exemple, la Cour a expressément conclu qu</w:t>
      </w:r>
      <w:r>
        <w:rPr>
          <w:rFonts w:cs="Arial"/>
          <w:szCs w:val="24"/>
        </w:rPr>
        <w:t>’</w:t>
      </w:r>
      <w:r w:rsidRPr="00377607">
        <w:rPr>
          <w:rFonts w:cs="Arial"/>
          <w:szCs w:val="24"/>
        </w:rPr>
        <w:t>une peine d</w:t>
      </w:r>
      <w:r>
        <w:rPr>
          <w:rFonts w:cs="Arial"/>
          <w:szCs w:val="24"/>
        </w:rPr>
        <w:t>’</w:t>
      </w:r>
      <w:r w:rsidRPr="00377607">
        <w:rPr>
          <w:rFonts w:cs="Arial"/>
          <w:szCs w:val="24"/>
        </w:rPr>
        <w:t xml:space="preserve">emprisonnement avec sursis était proportionnée dans les circonstances de cette affaire de possession. </w:t>
      </w:r>
    </w:p>
    <w:p w14:paraId="62B587EC" w14:textId="77777777" w:rsidR="005C67B6" w:rsidRPr="00377607" w:rsidRDefault="005C67B6" w:rsidP="005C67B6">
      <w:pPr>
        <w:pStyle w:val="Citationenretrait"/>
        <w:spacing w:after="240"/>
      </w:pPr>
      <w:r w:rsidRPr="00377607">
        <w:t>[</w:t>
      </w:r>
      <w:bookmarkStart w:id="15" w:name="par125"/>
      <w:r w:rsidRPr="00377607">
        <w:t>125</w:t>
      </w:r>
      <w:bookmarkEnd w:id="15"/>
      <w:r w:rsidRPr="00377607">
        <w:t>]</w:t>
      </w:r>
      <w:r w:rsidRPr="00377607">
        <w:tab/>
        <w:t>[…] la possession de pornographie juvénile nécessite généralement l’emprisonnement, mais il existe des cas où cet emprisonnement peut être purgé dans la collectivité.</w:t>
      </w:r>
    </w:p>
    <w:p w14:paraId="692C5A8C" w14:textId="77777777" w:rsidR="005C67B6" w:rsidRPr="00B6492C" w:rsidRDefault="005C67B6" w:rsidP="005C67B6">
      <w:pPr>
        <w:pStyle w:val="Paragraphe"/>
        <w:spacing w:line="240" w:lineRule="auto"/>
        <w:rPr>
          <w:rFonts w:cs="Arial"/>
          <w:szCs w:val="24"/>
        </w:rPr>
      </w:pPr>
      <w:r w:rsidRPr="00377607">
        <w:rPr>
          <w:rFonts w:cs="Arial"/>
          <w:szCs w:val="24"/>
        </w:rPr>
        <w:t>En l</w:t>
      </w:r>
      <w:r>
        <w:rPr>
          <w:rFonts w:cs="Arial"/>
          <w:szCs w:val="24"/>
        </w:rPr>
        <w:t>’</w:t>
      </w:r>
      <w:r w:rsidRPr="00377607">
        <w:rPr>
          <w:rFonts w:cs="Arial"/>
          <w:szCs w:val="24"/>
        </w:rPr>
        <w:t>espèce, la Cour doit infliger des peines pour les infractions de possession, de production et de distribution. La peine maximale de 14 ans pour les deux dernières suppose que le</w:t>
      </w:r>
      <w:r>
        <w:rPr>
          <w:rFonts w:cs="Arial"/>
          <w:szCs w:val="24"/>
        </w:rPr>
        <w:t>ur</w:t>
      </w:r>
      <w:r w:rsidRPr="00377607">
        <w:rPr>
          <w:rFonts w:cs="Arial"/>
          <w:szCs w:val="24"/>
        </w:rPr>
        <w:t xml:space="preserve"> degré de gravité objective élevé devrait entraîner une peine d</w:t>
      </w:r>
      <w:r>
        <w:rPr>
          <w:rFonts w:cs="Arial"/>
          <w:szCs w:val="24"/>
        </w:rPr>
        <w:t>’</w:t>
      </w:r>
      <w:r w:rsidRPr="00377607">
        <w:rPr>
          <w:rFonts w:cs="Arial"/>
          <w:szCs w:val="24"/>
        </w:rPr>
        <w:t>une sévérité élevée chaque fois que ces trois infractions sont en cause</w:t>
      </w:r>
      <w:r>
        <w:rPr>
          <w:rStyle w:val="Appelnotedebasdep"/>
          <w:rFonts w:cs="Arial"/>
          <w:szCs w:val="24"/>
        </w:rPr>
        <w:footnoteReference w:id="63"/>
      </w:r>
      <w:r>
        <w:rPr>
          <w:rFonts w:cs="Arial"/>
          <w:szCs w:val="24"/>
        </w:rPr>
        <w:t>.</w:t>
      </w:r>
      <w:r w:rsidRPr="00377607">
        <w:rPr>
          <w:rFonts w:cs="Arial"/>
          <w:szCs w:val="24"/>
        </w:rPr>
        <w:t xml:space="preserve"> Je suis d</w:t>
      </w:r>
      <w:r>
        <w:rPr>
          <w:rFonts w:cs="Arial"/>
          <w:szCs w:val="24"/>
        </w:rPr>
        <w:t>’</w:t>
      </w:r>
      <w:r w:rsidRPr="00377607">
        <w:rPr>
          <w:rFonts w:cs="Arial"/>
          <w:szCs w:val="24"/>
        </w:rPr>
        <w:t>accord avec cela dans l</w:t>
      </w:r>
      <w:r>
        <w:rPr>
          <w:rFonts w:cs="Arial"/>
          <w:szCs w:val="24"/>
        </w:rPr>
        <w:t>’</w:t>
      </w:r>
      <w:r w:rsidRPr="00377607">
        <w:rPr>
          <w:rFonts w:cs="Arial"/>
          <w:szCs w:val="24"/>
        </w:rPr>
        <w:t xml:space="preserve">ensemble, mais à une nuance près. Une plus </w:t>
      </w:r>
      <w:r>
        <w:rPr>
          <w:rFonts w:cs="Arial"/>
          <w:szCs w:val="24"/>
        </w:rPr>
        <w:t>grande sévérité sera</w:t>
      </w:r>
      <w:r w:rsidRPr="00377607">
        <w:rPr>
          <w:rFonts w:cs="Arial"/>
          <w:szCs w:val="24"/>
        </w:rPr>
        <w:t xml:space="preserve"> appropriée pour </w:t>
      </w:r>
      <w:r>
        <w:rPr>
          <w:rFonts w:cs="Arial"/>
          <w:szCs w:val="24"/>
        </w:rPr>
        <w:t>n’importe quelle</w:t>
      </w:r>
      <w:r w:rsidRPr="00377607">
        <w:rPr>
          <w:rFonts w:cs="Arial"/>
          <w:szCs w:val="24"/>
        </w:rPr>
        <w:t xml:space="preserve"> infraction lorsque cela est nécessaire afin de fixer une peine proportionnée, mais ne sera pas appropriée </w:t>
      </w:r>
      <w:r>
        <w:rPr>
          <w:rFonts w:cs="Arial"/>
          <w:szCs w:val="24"/>
        </w:rPr>
        <w:t>si elle</w:t>
      </w:r>
      <w:r w:rsidRPr="00377607">
        <w:rPr>
          <w:rFonts w:cs="Arial"/>
          <w:szCs w:val="24"/>
        </w:rPr>
        <w:t xml:space="preserve"> n</w:t>
      </w:r>
      <w:r>
        <w:rPr>
          <w:rFonts w:cs="Arial"/>
          <w:szCs w:val="24"/>
        </w:rPr>
        <w:t>’</w:t>
      </w:r>
      <w:r w:rsidRPr="00377607">
        <w:rPr>
          <w:rFonts w:cs="Arial"/>
          <w:szCs w:val="24"/>
        </w:rPr>
        <w:t>est pas nécessaire à cette fin. S</w:t>
      </w:r>
      <w:r>
        <w:rPr>
          <w:rFonts w:cs="Arial"/>
          <w:szCs w:val="24"/>
        </w:rPr>
        <w:t>’</w:t>
      </w:r>
      <w:r w:rsidRPr="00377607">
        <w:rPr>
          <w:rFonts w:cs="Arial"/>
          <w:szCs w:val="24"/>
        </w:rPr>
        <w:t>il est vrai que le</w:t>
      </w:r>
      <w:r>
        <w:rPr>
          <w:rFonts w:cs="Arial"/>
          <w:szCs w:val="24"/>
        </w:rPr>
        <w:t xml:space="preserve"> tort causé par le</w:t>
      </w:r>
      <w:r w:rsidRPr="00377607">
        <w:rPr>
          <w:rFonts w:cs="Arial"/>
          <w:szCs w:val="24"/>
        </w:rPr>
        <w:t>s infractions de production et de distribution de pornographie juvénile</w:t>
      </w:r>
      <w:r>
        <w:rPr>
          <w:rFonts w:cs="Arial"/>
          <w:szCs w:val="24"/>
        </w:rPr>
        <w:t xml:space="preserve"> peut excéder</w:t>
      </w:r>
      <w:r w:rsidRPr="00377607">
        <w:rPr>
          <w:rFonts w:cs="Arial"/>
          <w:szCs w:val="24"/>
        </w:rPr>
        <w:t xml:space="preserve"> </w:t>
      </w:r>
      <w:r>
        <w:rPr>
          <w:rFonts w:cs="Arial"/>
          <w:szCs w:val="24"/>
        </w:rPr>
        <w:t xml:space="preserve">celui causé dans le cas des </w:t>
      </w:r>
      <w:r w:rsidRPr="00377607">
        <w:rPr>
          <w:rFonts w:cs="Arial"/>
          <w:szCs w:val="24"/>
        </w:rPr>
        <w:t>infractions de possession et d</w:t>
      </w:r>
      <w:r>
        <w:rPr>
          <w:rFonts w:cs="Arial"/>
          <w:szCs w:val="24"/>
        </w:rPr>
        <w:t>’</w:t>
      </w:r>
      <w:r w:rsidRPr="00377607">
        <w:rPr>
          <w:rFonts w:cs="Arial"/>
          <w:szCs w:val="24"/>
        </w:rPr>
        <w:t>accès, ce n</w:t>
      </w:r>
      <w:r>
        <w:rPr>
          <w:rFonts w:cs="Arial"/>
          <w:szCs w:val="24"/>
        </w:rPr>
        <w:t>’</w:t>
      </w:r>
      <w:r w:rsidRPr="00377607">
        <w:rPr>
          <w:rFonts w:cs="Arial"/>
          <w:szCs w:val="24"/>
        </w:rPr>
        <w:t>est pas le cas en l</w:t>
      </w:r>
      <w:r>
        <w:rPr>
          <w:rFonts w:cs="Arial"/>
          <w:szCs w:val="24"/>
        </w:rPr>
        <w:t>’</w:t>
      </w:r>
      <w:r w:rsidRPr="00377607">
        <w:rPr>
          <w:rFonts w:cs="Arial"/>
          <w:szCs w:val="24"/>
        </w:rPr>
        <w:t>espèce. Lorsque la gravité de l</w:t>
      </w:r>
      <w:r>
        <w:rPr>
          <w:rFonts w:cs="Arial"/>
          <w:szCs w:val="24"/>
        </w:rPr>
        <w:t>’</w:t>
      </w:r>
      <w:r w:rsidRPr="00377607">
        <w:rPr>
          <w:rFonts w:cs="Arial"/>
          <w:szCs w:val="24"/>
        </w:rPr>
        <w:t>infraction et le degré de responsabilité du délinquant justifient une peine proportionnée moins sévère, ce sont des facteurs qui devraient être considérés. En l</w:t>
      </w:r>
      <w:r>
        <w:rPr>
          <w:rFonts w:cs="Arial"/>
          <w:szCs w:val="24"/>
        </w:rPr>
        <w:t>’</w:t>
      </w:r>
      <w:r w:rsidRPr="00377607">
        <w:rPr>
          <w:rFonts w:cs="Arial"/>
          <w:szCs w:val="24"/>
        </w:rPr>
        <w:t xml:space="preserve">espèce, je ne peux affirmer que </w:t>
      </w:r>
      <w:r>
        <w:rPr>
          <w:rFonts w:cs="Arial"/>
          <w:szCs w:val="24"/>
        </w:rPr>
        <w:t>dans tous les cas les infractions de production et distribution exigent une peine plus sévère que pour la possession.</w:t>
      </w:r>
      <w:r w:rsidRPr="00377607">
        <w:rPr>
          <w:rFonts w:cs="Arial"/>
          <w:szCs w:val="24"/>
        </w:rPr>
        <w:t xml:space="preserve"> </w:t>
      </w:r>
    </w:p>
    <w:p w14:paraId="659AA9B0" w14:textId="77777777" w:rsidR="005C67B6" w:rsidRPr="00745CB7" w:rsidRDefault="005C67B6" w:rsidP="005C67B6">
      <w:pPr>
        <w:pStyle w:val="Paragraphe"/>
        <w:spacing w:line="240" w:lineRule="auto"/>
        <w:rPr>
          <w:rFonts w:cs="Arial"/>
          <w:szCs w:val="24"/>
        </w:rPr>
      </w:pPr>
      <w:r w:rsidRPr="00377607">
        <w:rPr>
          <w:rFonts w:cs="Arial"/>
          <w:szCs w:val="24"/>
        </w:rPr>
        <w:t>La jurisprudence peut être ainsi résumée</w:t>
      </w:r>
      <w:r>
        <w:rPr>
          <w:rFonts w:cs="Arial"/>
          <w:szCs w:val="24"/>
        </w:rPr>
        <w:t> </w:t>
      </w:r>
      <w:r w:rsidRPr="00377607">
        <w:rPr>
          <w:rFonts w:cs="Arial"/>
          <w:szCs w:val="24"/>
        </w:rPr>
        <w:t xml:space="preserve">: </w:t>
      </w:r>
    </w:p>
    <w:p w14:paraId="796CB64D" w14:textId="77777777" w:rsidR="005C67B6" w:rsidRPr="007C2ACC" w:rsidRDefault="005C67B6" w:rsidP="005C67B6">
      <w:pPr>
        <w:pStyle w:val="Citationenretrait"/>
        <w:spacing w:before="100" w:after="100" w:line="240" w:lineRule="auto"/>
        <w:rPr>
          <w:sz w:val="24"/>
          <w:szCs w:val="24"/>
        </w:rPr>
      </w:pPr>
      <w:r w:rsidRPr="007C2ACC">
        <w:rPr>
          <w:sz w:val="24"/>
          <w:szCs w:val="24"/>
        </w:rPr>
        <w:t xml:space="preserve">En l’absence d’une peine minimale valide, la peine infligée pour chaque infraction de pédopornographie doit être fixée conformément aux principes énoncés dans le </w:t>
      </w:r>
      <w:r w:rsidRPr="007C2ACC">
        <w:rPr>
          <w:i/>
          <w:iCs/>
          <w:sz w:val="24"/>
          <w:szCs w:val="24"/>
        </w:rPr>
        <w:t xml:space="preserve">Code criminel </w:t>
      </w:r>
      <w:r w:rsidRPr="007C2ACC">
        <w:rPr>
          <w:sz w:val="24"/>
          <w:szCs w:val="24"/>
        </w:rPr>
        <w:t xml:space="preserve">et la jurisprudence pertinente. </w:t>
      </w:r>
    </w:p>
    <w:p w14:paraId="5A9AA15B" w14:textId="77777777" w:rsidR="005C67B6" w:rsidRPr="007C2ACC" w:rsidRDefault="005C67B6" w:rsidP="005C67B6">
      <w:pPr>
        <w:pStyle w:val="Citationenretrait"/>
        <w:spacing w:before="100" w:after="100" w:line="240" w:lineRule="auto"/>
        <w:rPr>
          <w:sz w:val="24"/>
          <w:szCs w:val="24"/>
        </w:rPr>
      </w:pPr>
      <w:r w:rsidRPr="007C2ACC">
        <w:rPr>
          <w:sz w:val="24"/>
          <w:szCs w:val="24"/>
        </w:rPr>
        <w:t xml:space="preserve">Toutes les peines sont envisageables. </w:t>
      </w:r>
    </w:p>
    <w:p w14:paraId="792D03C9" w14:textId="77777777" w:rsidR="005C67B6" w:rsidRPr="007C2ACC" w:rsidRDefault="005C67B6" w:rsidP="005C67B6">
      <w:pPr>
        <w:pStyle w:val="Citationenretrait"/>
        <w:spacing w:before="100" w:after="100" w:line="240" w:lineRule="auto"/>
        <w:rPr>
          <w:sz w:val="24"/>
          <w:szCs w:val="24"/>
        </w:rPr>
      </w:pPr>
      <w:r w:rsidRPr="007C2ACC">
        <w:rPr>
          <w:sz w:val="24"/>
          <w:szCs w:val="24"/>
        </w:rPr>
        <w:t>Chaque peine doit respecter le principe de la proportionnalité et tenir dûment compte de l’ensemble des objectifs pertinents.</w:t>
      </w:r>
    </w:p>
    <w:p w14:paraId="4EF72D28" w14:textId="77777777" w:rsidR="005C67B6" w:rsidRPr="007C2ACC" w:rsidRDefault="005C67B6" w:rsidP="005C67B6">
      <w:pPr>
        <w:pStyle w:val="Citationenretrait"/>
        <w:spacing w:before="100" w:after="100" w:line="240" w:lineRule="auto"/>
        <w:rPr>
          <w:sz w:val="24"/>
          <w:szCs w:val="24"/>
        </w:rPr>
      </w:pPr>
      <w:r w:rsidRPr="007C2ACC">
        <w:rPr>
          <w:sz w:val="24"/>
          <w:szCs w:val="24"/>
        </w:rPr>
        <w:t xml:space="preserve">Pour toutes les infractions de pédopornographie, la priorité doit être accordée aux objectifs punitifs de dénonciation et de dissuasion. </w:t>
      </w:r>
    </w:p>
    <w:p w14:paraId="7B8C2A2D" w14:textId="77777777" w:rsidR="005C67B6" w:rsidRPr="007C2ACC" w:rsidRDefault="005C67B6" w:rsidP="005C67B6">
      <w:pPr>
        <w:pStyle w:val="Citationenretrait"/>
        <w:spacing w:before="100" w:after="100" w:line="240" w:lineRule="auto"/>
        <w:rPr>
          <w:sz w:val="24"/>
          <w:szCs w:val="24"/>
        </w:rPr>
      </w:pPr>
      <w:r w:rsidRPr="007C2ACC">
        <w:rPr>
          <w:sz w:val="24"/>
          <w:szCs w:val="24"/>
        </w:rPr>
        <w:t xml:space="preserve">Cette priorité n’empêche pas de dûment prendre en compte les objectifs de justice corrective comme la réhabilitation et la réinsertion sociale du délinquant. </w:t>
      </w:r>
    </w:p>
    <w:p w14:paraId="4B3AE799" w14:textId="77777777" w:rsidR="005C67B6" w:rsidRPr="007C2ACC" w:rsidRDefault="005C67B6" w:rsidP="005C67B6">
      <w:pPr>
        <w:pStyle w:val="Citationenretrait"/>
        <w:spacing w:before="100" w:after="100" w:line="240" w:lineRule="auto"/>
        <w:rPr>
          <w:sz w:val="24"/>
          <w:szCs w:val="24"/>
        </w:rPr>
      </w:pPr>
      <w:r w:rsidRPr="007C2ACC">
        <w:rPr>
          <w:sz w:val="24"/>
          <w:szCs w:val="24"/>
        </w:rPr>
        <w:t xml:space="preserve">Une privation de liberté est la norme pour souligner l’importance accordée à la dénonciation et à la dissuasion. </w:t>
      </w:r>
    </w:p>
    <w:p w14:paraId="2DD3BE1C" w14:textId="77777777" w:rsidR="005C67B6" w:rsidRPr="007C2ACC" w:rsidRDefault="005C67B6" w:rsidP="005C67B6">
      <w:pPr>
        <w:pStyle w:val="Citationenretrait"/>
        <w:spacing w:before="100" w:after="100" w:line="240" w:lineRule="auto"/>
        <w:rPr>
          <w:sz w:val="24"/>
          <w:szCs w:val="24"/>
        </w:rPr>
      </w:pPr>
      <w:r w:rsidRPr="007C2ACC">
        <w:rPr>
          <w:sz w:val="24"/>
          <w:szCs w:val="24"/>
        </w:rPr>
        <w:t xml:space="preserve">La norme est une peine d’incarcération continue dans un établissement correctionnel, mais elle n’est pas absolue. </w:t>
      </w:r>
    </w:p>
    <w:p w14:paraId="2F3116BC" w14:textId="77777777" w:rsidR="005C67B6" w:rsidRPr="007C2ACC" w:rsidRDefault="005C67B6" w:rsidP="005C67B6">
      <w:pPr>
        <w:pStyle w:val="Citationenretrait"/>
        <w:spacing w:before="100" w:after="100" w:line="240" w:lineRule="auto"/>
        <w:rPr>
          <w:sz w:val="24"/>
          <w:szCs w:val="24"/>
        </w:rPr>
      </w:pPr>
      <w:r w:rsidRPr="007C2ACC">
        <w:rPr>
          <w:sz w:val="24"/>
          <w:szCs w:val="24"/>
        </w:rPr>
        <w:t xml:space="preserve">Si les objectifs de justice corrective justifient de s’éloigner de la norme, une privation de liberté sous une autre forme peut être ordonnée, si elle s’avère suffisante et que des motifs valables sont invoqués. </w:t>
      </w:r>
    </w:p>
    <w:p w14:paraId="0941E69E" w14:textId="77777777" w:rsidR="005C67B6" w:rsidRPr="007C2ACC" w:rsidRDefault="005C67B6" w:rsidP="005C67B6">
      <w:pPr>
        <w:pStyle w:val="Citationenretrait"/>
        <w:spacing w:before="100" w:after="240" w:line="240" w:lineRule="auto"/>
        <w:rPr>
          <w:sz w:val="24"/>
          <w:szCs w:val="24"/>
        </w:rPr>
      </w:pPr>
      <w:r w:rsidRPr="007C2ACC">
        <w:rPr>
          <w:sz w:val="24"/>
          <w:szCs w:val="24"/>
        </w:rPr>
        <w:t xml:space="preserve">On s’écartera rarement d’une mesure privative de liberté et </w:t>
      </w:r>
      <w:r>
        <w:rPr>
          <w:sz w:val="24"/>
          <w:szCs w:val="24"/>
        </w:rPr>
        <w:t xml:space="preserve">si c’est le cas, </w:t>
      </w:r>
      <w:r w:rsidRPr="007C2ACC">
        <w:rPr>
          <w:sz w:val="24"/>
          <w:szCs w:val="24"/>
        </w:rPr>
        <w:t xml:space="preserve">cela doit être justifié dans des motifs suffisants et convaincants. </w:t>
      </w:r>
    </w:p>
    <w:p w14:paraId="4038F757" w14:textId="77777777" w:rsidR="005C67B6" w:rsidRPr="00D85F8F" w:rsidRDefault="005C67B6" w:rsidP="005C67B6">
      <w:pPr>
        <w:pStyle w:val="Paragraphe"/>
        <w:spacing w:line="240" w:lineRule="auto"/>
        <w:rPr>
          <w:rFonts w:cs="Arial"/>
          <w:szCs w:val="24"/>
        </w:rPr>
      </w:pPr>
      <w:r w:rsidRPr="00377607">
        <w:rPr>
          <w:rFonts w:cs="Arial"/>
          <w:szCs w:val="24"/>
        </w:rPr>
        <w:t xml:space="preserve">Les infractions commises par l’intimée, </w:t>
      </w:r>
      <w:r>
        <w:rPr>
          <w:rFonts w:cs="Arial"/>
          <w:szCs w:val="24"/>
        </w:rPr>
        <w:t>quoi</w:t>
      </w:r>
      <w:r w:rsidRPr="00377607">
        <w:rPr>
          <w:rFonts w:cs="Arial"/>
          <w:szCs w:val="24"/>
        </w:rPr>
        <w:t>qu</w:t>
      </w:r>
      <w:r>
        <w:rPr>
          <w:rFonts w:cs="Arial"/>
          <w:szCs w:val="24"/>
        </w:rPr>
        <w:t>’</w:t>
      </w:r>
      <w:r w:rsidRPr="00377607">
        <w:rPr>
          <w:rFonts w:cs="Arial"/>
          <w:szCs w:val="24"/>
        </w:rPr>
        <w:t>empreintes d</w:t>
      </w:r>
      <w:r>
        <w:rPr>
          <w:rFonts w:cs="Arial"/>
          <w:szCs w:val="24"/>
        </w:rPr>
        <w:t>’</w:t>
      </w:r>
      <w:r w:rsidRPr="00377607">
        <w:rPr>
          <w:rFonts w:cs="Arial"/>
          <w:szCs w:val="24"/>
        </w:rPr>
        <w:t>une gravité</w:t>
      </w:r>
      <w:r>
        <w:rPr>
          <w:rFonts w:cs="Arial"/>
          <w:szCs w:val="24"/>
        </w:rPr>
        <w:t xml:space="preserve"> inhérente</w:t>
      </w:r>
      <w:r w:rsidRPr="00377607">
        <w:rPr>
          <w:rFonts w:cs="Arial"/>
          <w:szCs w:val="24"/>
        </w:rPr>
        <w:t xml:space="preserve">, ne sont pas parmi les plus graves. Certains éléments </w:t>
      </w:r>
      <w:r>
        <w:rPr>
          <w:rFonts w:cs="Arial"/>
          <w:szCs w:val="24"/>
        </w:rPr>
        <w:t xml:space="preserve">peuvent </w:t>
      </w:r>
      <w:r w:rsidRPr="00377607">
        <w:rPr>
          <w:rFonts w:cs="Arial"/>
          <w:szCs w:val="24"/>
        </w:rPr>
        <w:t>se compare</w:t>
      </w:r>
      <w:r>
        <w:rPr>
          <w:rFonts w:cs="Arial"/>
          <w:szCs w:val="24"/>
        </w:rPr>
        <w:t>r</w:t>
      </w:r>
      <w:r w:rsidRPr="00377607">
        <w:rPr>
          <w:rFonts w:cs="Arial"/>
          <w:szCs w:val="24"/>
        </w:rPr>
        <w:t xml:space="preserve"> à la situation raisonnablement prévisible adoptée pour les besoins de</w:t>
      </w:r>
      <w:r>
        <w:rPr>
          <w:rFonts w:cs="Arial"/>
          <w:szCs w:val="24"/>
        </w:rPr>
        <w:t xml:space="preserve"> l’espèce</w:t>
      </w:r>
      <w:r w:rsidRPr="00377607">
        <w:rPr>
          <w:rFonts w:cs="Arial"/>
          <w:szCs w:val="24"/>
        </w:rPr>
        <w:t xml:space="preserve">. La quantité de matériel était relativement petite. La production consiste à </w:t>
      </w:r>
      <w:r>
        <w:rPr>
          <w:rFonts w:cs="Arial"/>
          <w:szCs w:val="24"/>
        </w:rPr>
        <w:t>s’être procuré</w:t>
      </w:r>
      <w:r w:rsidRPr="00377607">
        <w:rPr>
          <w:rFonts w:cs="Arial"/>
          <w:szCs w:val="24"/>
        </w:rPr>
        <w:t xml:space="preserve"> des fichiers compilés par d</w:t>
      </w:r>
      <w:r>
        <w:rPr>
          <w:rFonts w:cs="Arial"/>
          <w:szCs w:val="24"/>
        </w:rPr>
        <w:t>’</w:t>
      </w:r>
      <w:r w:rsidRPr="00377607">
        <w:rPr>
          <w:rFonts w:cs="Arial"/>
          <w:szCs w:val="24"/>
        </w:rPr>
        <w:t>autres et l</w:t>
      </w:r>
      <w:r>
        <w:rPr>
          <w:rFonts w:cs="Arial"/>
          <w:szCs w:val="24"/>
        </w:rPr>
        <w:t>’</w:t>
      </w:r>
      <w:r w:rsidRPr="00377607">
        <w:rPr>
          <w:rFonts w:cs="Arial"/>
          <w:szCs w:val="24"/>
        </w:rPr>
        <w:t xml:space="preserve">ampleur de la distribution était limitée. Les infractions ont perduré quelques jours puis ont cessé. </w:t>
      </w:r>
    </w:p>
    <w:p w14:paraId="6475AA6E" w14:textId="0BF58905" w:rsidR="005C67B6" w:rsidRDefault="005C67B6" w:rsidP="005C67B6">
      <w:pPr>
        <w:pStyle w:val="Paragraphe"/>
        <w:spacing w:line="240" w:lineRule="auto"/>
        <w:rPr>
          <w:rFonts w:cs="Arial"/>
          <w:szCs w:val="24"/>
        </w:rPr>
      </w:pPr>
      <w:r w:rsidRPr="00377607">
        <w:rPr>
          <w:rFonts w:cs="Arial"/>
          <w:szCs w:val="24"/>
        </w:rPr>
        <w:t>La preuve de la situation personnelle de l</w:t>
      </w:r>
      <w:r>
        <w:rPr>
          <w:rFonts w:cs="Arial"/>
          <w:szCs w:val="24"/>
        </w:rPr>
        <w:t>’</w:t>
      </w:r>
      <w:r w:rsidRPr="00377607">
        <w:rPr>
          <w:rFonts w:cs="Arial"/>
          <w:szCs w:val="24"/>
        </w:rPr>
        <w:t>intimée montre clairement que l</w:t>
      </w:r>
      <w:r>
        <w:rPr>
          <w:rFonts w:cs="Arial"/>
          <w:szCs w:val="24"/>
        </w:rPr>
        <w:t>’</w:t>
      </w:r>
      <w:r w:rsidRPr="00377607">
        <w:rPr>
          <w:rFonts w:cs="Arial"/>
          <w:szCs w:val="24"/>
        </w:rPr>
        <w:t>infliction des peines applicables irait à l</w:t>
      </w:r>
      <w:r>
        <w:rPr>
          <w:rFonts w:cs="Arial"/>
          <w:szCs w:val="24"/>
        </w:rPr>
        <w:t>’</w:t>
      </w:r>
      <w:r w:rsidRPr="00377607">
        <w:rPr>
          <w:rFonts w:cs="Arial"/>
          <w:szCs w:val="24"/>
        </w:rPr>
        <w:t>encontre des objectifs qui lui sont favorables ou qui seraient favorables à un délinquant raisonnablement prévisible. Leurs effets sur l</w:t>
      </w:r>
      <w:r>
        <w:rPr>
          <w:rFonts w:cs="Arial"/>
          <w:szCs w:val="24"/>
        </w:rPr>
        <w:t>’</w:t>
      </w:r>
      <w:r w:rsidRPr="00377607">
        <w:rPr>
          <w:rFonts w:cs="Arial"/>
          <w:szCs w:val="24"/>
        </w:rPr>
        <w:t>intimée seraient exagérément disproportionnés si l</w:t>
      </w:r>
      <w:r>
        <w:rPr>
          <w:rFonts w:cs="Arial"/>
          <w:szCs w:val="24"/>
        </w:rPr>
        <w:t>’</w:t>
      </w:r>
      <w:r w:rsidRPr="00377607">
        <w:rPr>
          <w:rFonts w:cs="Arial"/>
          <w:szCs w:val="24"/>
        </w:rPr>
        <w:t>on tient dûment compte non seulement des objectifs de dénonciation et de dissuasion</w:t>
      </w:r>
      <w:r>
        <w:rPr>
          <w:rFonts w:cs="Arial"/>
          <w:szCs w:val="24"/>
        </w:rPr>
        <w:t>,</w:t>
      </w:r>
      <w:r w:rsidRPr="00377607">
        <w:rPr>
          <w:rFonts w:cs="Arial"/>
          <w:szCs w:val="24"/>
        </w:rPr>
        <w:t xml:space="preserve"> mais aussi de ceux de réhabilitation et de réinsertion dans la société. Ces peines sont disproportionnées non seulement parce qu</w:t>
      </w:r>
      <w:r>
        <w:rPr>
          <w:rFonts w:cs="Arial"/>
          <w:szCs w:val="24"/>
        </w:rPr>
        <w:t>’</w:t>
      </w:r>
      <w:r w:rsidRPr="00377607">
        <w:rPr>
          <w:rFonts w:cs="Arial"/>
          <w:szCs w:val="24"/>
        </w:rPr>
        <w:t>elles exc</w:t>
      </w:r>
      <w:r>
        <w:rPr>
          <w:rFonts w:cs="Arial"/>
          <w:szCs w:val="24"/>
        </w:rPr>
        <w:t>è</w:t>
      </w:r>
      <w:r w:rsidRPr="00377607">
        <w:rPr>
          <w:rFonts w:cs="Arial"/>
          <w:szCs w:val="24"/>
        </w:rPr>
        <w:t>dent ce qui est nécessaire pour atteindre les objectifs du Parlement en matière de détermination de la peine, mais aussi dans la mesure où elles excluent toute autre solution raisonnable dans tout scénario raisonnable. Ces facteurs justifient la conclusion selon laquelle les peines obligatoires excèdent tout objectif pénologique valable et ne peuvent se réconcilier avec le respect de la dignité humaine qui est au cœur de l</w:t>
      </w:r>
      <w:r>
        <w:rPr>
          <w:rFonts w:cs="Arial"/>
          <w:szCs w:val="24"/>
        </w:rPr>
        <w:t>’</w:t>
      </w:r>
      <w:r w:rsidRPr="00377607">
        <w:rPr>
          <w:rFonts w:cs="Arial"/>
          <w:szCs w:val="24"/>
        </w:rPr>
        <w:t>article</w:t>
      </w:r>
      <w:r>
        <w:rPr>
          <w:rFonts w:cs="Arial"/>
          <w:szCs w:val="24"/>
        </w:rPr>
        <w:t> </w:t>
      </w:r>
      <w:r w:rsidRPr="00377607">
        <w:rPr>
          <w:rFonts w:cs="Arial"/>
          <w:szCs w:val="24"/>
        </w:rPr>
        <w:t xml:space="preserve">12. En somme, ces peines minimales sont disproportionnées, parce que les objectifs de justice punitive ne peuvent valablement éclipser les objectifs de justice corrective </w:t>
      </w:r>
      <w:r>
        <w:rPr>
          <w:rFonts w:cs="Arial"/>
          <w:szCs w:val="24"/>
        </w:rPr>
        <w:t>dans les cas où</w:t>
      </w:r>
      <w:r w:rsidRPr="00377607">
        <w:rPr>
          <w:rFonts w:cs="Arial"/>
          <w:szCs w:val="24"/>
        </w:rPr>
        <w:t xml:space="preserve"> la peine proportionnée s</w:t>
      </w:r>
      <w:r>
        <w:rPr>
          <w:rFonts w:cs="Arial"/>
          <w:szCs w:val="24"/>
        </w:rPr>
        <w:t>’</w:t>
      </w:r>
      <w:r w:rsidRPr="00377607">
        <w:rPr>
          <w:rFonts w:cs="Arial"/>
          <w:szCs w:val="24"/>
        </w:rPr>
        <w:t>avère moins sévère que la peine minimale.</w:t>
      </w:r>
    </w:p>
    <w:p w14:paraId="11183866" w14:textId="77777777" w:rsidR="005C67B6" w:rsidRPr="00745CB7" w:rsidRDefault="005C67B6" w:rsidP="005C67B6">
      <w:pPr>
        <w:pStyle w:val="Paragraphe"/>
        <w:spacing w:line="240" w:lineRule="auto"/>
        <w:rPr>
          <w:rFonts w:cs="Arial"/>
          <w:szCs w:val="24"/>
        </w:rPr>
      </w:pPr>
      <w:r w:rsidRPr="00377607">
        <w:rPr>
          <w:rFonts w:cs="Arial"/>
          <w:szCs w:val="24"/>
        </w:rPr>
        <w:t>Je suis d’accord avec la juge de la peine que la présente affaire justifie une perte de liberté afin de mettre en avant la dénonciation et la dissuasion. Je suis aussi d</w:t>
      </w:r>
      <w:r>
        <w:rPr>
          <w:rFonts w:cs="Arial"/>
          <w:szCs w:val="24"/>
        </w:rPr>
        <w:t>’</w:t>
      </w:r>
      <w:r w:rsidRPr="00377607">
        <w:rPr>
          <w:rFonts w:cs="Arial"/>
          <w:szCs w:val="24"/>
        </w:rPr>
        <w:t>accord que la présente affaire nécessite une sanction exemplaire sans pour autant mettre de côté les autres objectifs de détermination d’une peine proportionnée. L</w:t>
      </w:r>
      <w:r>
        <w:rPr>
          <w:rFonts w:cs="Arial"/>
          <w:szCs w:val="24"/>
        </w:rPr>
        <w:t>’</w:t>
      </w:r>
      <w:r w:rsidRPr="00377607">
        <w:rPr>
          <w:rFonts w:cs="Arial"/>
          <w:szCs w:val="24"/>
        </w:rPr>
        <w:t>intimée a participé activement à la commission des trois infractions. Elle était pleinement consciente de ce qu</w:t>
      </w:r>
      <w:r>
        <w:rPr>
          <w:rFonts w:cs="Arial"/>
          <w:szCs w:val="24"/>
        </w:rPr>
        <w:t>’</w:t>
      </w:r>
      <w:r w:rsidRPr="00377607">
        <w:rPr>
          <w:rFonts w:cs="Arial"/>
          <w:szCs w:val="24"/>
        </w:rPr>
        <w:t xml:space="preserve">elle faisait et </w:t>
      </w:r>
      <w:r>
        <w:rPr>
          <w:rFonts w:cs="Arial"/>
          <w:szCs w:val="24"/>
        </w:rPr>
        <w:t xml:space="preserve">elle </w:t>
      </w:r>
      <w:r w:rsidRPr="00377607">
        <w:rPr>
          <w:rFonts w:cs="Arial"/>
          <w:szCs w:val="24"/>
        </w:rPr>
        <w:t>le faisait volontairement, même si elle a plus tard exprimé des regrets et des remords. Le matériel consistait en une vingtaine de photographies téléchargées à partir de sites internet et de texte qu</w:t>
      </w:r>
      <w:r>
        <w:rPr>
          <w:rFonts w:cs="Arial"/>
          <w:szCs w:val="24"/>
        </w:rPr>
        <w:t>’</w:t>
      </w:r>
      <w:r w:rsidRPr="00377607">
        <w:rPr>
          <w:rFonts w:cs="Arial"/>
          <w:szCs w:val="24"/>
        </w:rPr>
        <w:t>elle a elle-même rédigé. Elle a distribué ce matériel à une personne sur une période d</w:t>
      </w:r>
      <w:r>
        <w:rPr>
          <w:rFonts w:cs="Arial"/>
          <w:szCs w:val="24"/>
        </w:rPr>
        <w:t>’</w:t>
      </w:r>
      <w:r w:rsidRPr="00377607">
        <w:rPr>
          <w:rFonts w:cs="Arial"/>
          <w:szCs w:val="24"/>
        </w:rPr>
        <w:t>environ dix jours. Bien que ces éléments excluent le cas de l</w:t>
      </w:r>
      <w:r>
        <w:rPr>
          <w:rFonts w:cs="Arial"/>
          <w:szCs w:val="24"/>
        </w:rPr>
        <w:t>’</w:t>
      </w:r>
      <w:r w:rsidRPr="00377607">
        <w:rPr>
          <w:rFonts w:cs="Arial"/>
          <w:szCs w:val="24"/>
        </w:rPr>
        <w:t>intimée des cas les plus graves de pédopornographie, seule une peine plus sévère pourra satisfaire aux exigences de la proportionnalité en l</w:t>
      </w:r>
      <w:r>
        <w:rPr>
          <w:rFonts w:cs="Arial"/>
          <w:szCs w:val="24"/>
        </w:rPr>
        <w:t>’</w:t>
      </w:r>
      <w:r w:rsidRPr="00377607">
        <w:rPr>
          <w:rFonts w:cs="Arial"/>
          <w:szCs w:val="24"/>
        </w:rPr>
        <w:t xml:space="preserve">espèce. </w:t>
      </w:r>
    </w:p>
    <w:p w14:paraId="69384CE3" w14:textId="77777777" w:rsidR="005C67B6" w:rsidRPr="00745CB7" w:rsidRDefault="005C67B6" w:rsidP="005C67B6">
      <w:pPr>
        <w:pStyle w:val="Paragraphe"/>
        <w:spacing w:line="240" w:lineRule="auto"/>
        <w:rPr>
          <w:rFonts w:cs="Arial"/>
          <w:szCs w:val="24"/>
        </w:rPr>
      </w:pPr>
      <w:r w:rsidRPr="00377607">
        <w:rPr>
          <w:rFonts w:cs="Arial"/>
          <w:szCs w:val="24"/>
        </w:rPr>
        <w:t>Rien n</w:t>
      </w:r>
      <w:r>
        <w:rPr>
          <w:rFonts w:cs="Arial"/>
          <w:szCs w:val="24"/>
        </w:rPr>
        <w:t>’</w:t>
      </w:r>
      <w:r w:rsidRPr="00377607">
        <w:rPr>
          <w:rFonts w:cs="Arial"/>
          <w:szCs w:val="24"/>
        </w:rPr>
        <w:t>indique que l</w:t>
      </w:r>
      <w:r>
        <w:rPr>
          <w:rFonts w:cs="Arial"/>
          <w:szCs w:val="24"/>
        </w:rPr>
        <w:t>’</w:t>
      </w:r>
      <w:r w:rsidRPr="00377607">
        <w:rPr>
          <w:rFonts w:cs="Arial"/>
          <w:szCs w:val="24"/>
        </w:rPr>
        <w:t>intimée représente un danger immédiat ou futur pour la société; la preuve de réhabilitation et de l</w:t>
      </w:r>
      <w:r>
        <w:rPr>
          <w:rFonts w:cs="Arial"/>
          <w:szCs w:val="24"/>
        </w:rPr>
        <w:t>’</w:t>
      </w:r>
      <w:r w:rsidRPr="00377607">
        <w:rPr>
          <w:rFonts w:cs="Arial"/>
          <w:szCs w:val="24"/>
        </w:rPr>
        <w:t>absence de risque de récidive est convaincante. La dissuasion spécifique n</w:t>
      </w:r>
      <w:r>
        <w:rPr>
          <w:rFonts w:cs="Arial"/>
          <w:szCs w:val="24"/>
        </w:rPr>
        <w:t>’</w:t>
      </w:r>
      <w:r w:rsidRPr="00377607">
        <w:rPr>
          <w:rFonts w:cs="Arial"/>
          <w:szCs w:val="24"/>
        </w:rPr>
        <w:t>est pas un objectif pertinent. L</w:t>
      </w:r>
      <w:r>
        <w:rPr>
          <w:rFonts w:cs="Arial"/>
          <w:szCs w:val="24"/>
        </w:rPr>
        <w:t>’</w:t>
      </w:r>
      <w:r w:rsidRPr="00377607">
        <w:rPr>
          <w:rFonts w:cs="Arial"/>
          <w:szCs w:val="24"/>
        </w:rPr>
        <w:t>intimée a démontré avoir réellement pris conscience de sa responsabilité et elle a reconnu le tort causé par ses gestes. Bien que ces éléments n</w:t>
      </w:r>
      <w:r>
        <w:rPr>
          <w:rFonts w:cs="Arial"/>
          <w:szCs w:val="24"/>
        </w:rPr>
        <w:t>’</w:t>
      </w:r>
      <w:r w:rsidRPr="00377607">
        <w:rPr>
          <w:rFonts w:cs="Arial"/>
          <w:szCs w:val="24"/>
        </w:rPr>
        <w:t>atténuent en rien la gravité des infractions ni la responsabilité de l</w:t>
      </w:r>
      <w:r>
        <w:rPr>
          <w:rFonts w:cs="Arial"/>
          <w:szCs w:val="24"/>
        </w:rPr>
        <w:t>’</w:t>
      </w:r>
      <w:r w:rsidRPr="00377607">
        <w:rPr>
          <w:rFonts w:cs="Arial"/>
          <w:szCs w:val="24"/>
        </w:rPr>
        <w:t xml:space="preserve">intimée, la preuve qui a été déposée me convainc de conclure que rien ne justifie de </w:t>
      </w:r>
      <w:r>
        <w:rPr>
          <w:rFonts w:cs="Arial"/>
          <w:szCs w:val="24"/>
        </w:rPr>
        <w:t xml:space="preserve">la </w:t>
      </w:r>
      <w:r w:rsidRPr="00377607">
        <w:rPr>
          <w:rFonts w:cs="Arial"/>
          <w:szCs w:val="24"/>
        </w:rPr>
        <w:t>condamner à une peine d</w:t>
      </w:r>
      <w:r>
        <w:rPr>
          <w:rFonts w:cs="Arial"/>
          <w:szCs w:val="24"/>
        </w:rPr>
        <w:t>’</w:t>
      </w:r>
      <w:r w:rsidRPr="00377607">
        <w:rPr>
          <w:rFonts w:cs="Arial"/>
          <w:szCs w:val="24"/>
        </w:rPr>
        <w:t>emprisonnement continue dans un établissement correctionnel</w:t>
      </w:r>
      <w:r>
        <w:rPr>
          <w:rStyle w:val="Appelnotedebasdep"/>
          <w:rFonts w:cs="Arial"/>
          <w:szCs w:val="24"/>
        </w:rPr>
        <w:footnoteReference w:id="64"/>
      </w:r>
      <w:r>
        <w:rPr>
          <w:rFonts w:cs="Arial"/>
          <w:szCs w:val="24"/>
        </w:rPr>
        <w:t>.</w:t>
      </w:r>
      <w:r w:rsidRPr="00377607">
        <w:rPr>
          <w:rFonts w:cs="Arial"/>
          <w:szCs w:val="24"/>
        </w:rPr>
        <w:t xml:space="preserve"> Une peine d</w:t>
      </w:r>
      <w:r>
        <w:rPr>
          <w:rFonts w:cs="Arial"/>
          <w:szCs w:val="24"/>
        </w:rPr>
        <w:t>’</w:t>
      </w:r>
      <w:r w:rsidRPr="00377607">
        <w:rPr>
          <w:rFonts w:cs="Arial"/>
          <w:szCs w:val="24"/>
        </w:rPr>
        <w:t xml:space="preserve">emprisonnement avec sursis est conforme aux objectifs et aux principes de détermination de la peine. Elle </w:t>
      </w:r>
      <w:r>
        <w:rPr>
          <w:rFonts w:cs="Arial"/>
          <w:szCs w:val="24"/>
        </w:rPr>
        <w:t xml:space="preserve">insiste </w:t>
      </w:r>
      <w:r w:rsidRPr="00377607">
        <w:rPr>
          <w:rFonts w:cs="Arial"/>
          <w:szCs w:val="24"/>
        </w:rPr>
        <w:t>sur les objectifs punitifs de dénonciation et de dissuasion</w:t>
      </w:r>
      <w:r>
        <w:rPr>
          <w:rFonts w:cs="Arial"/>
          <w:szCs w:val="24"/>
        </w:rPr>
        <w:t xml:space="preserve"> tout en faisant preuve de retenue</w:t>
      </w:r>
      <w:r>
        <w:rPr>
          <w:rStyle w:val="Appelnotedebasdep"/>
          <w:rFonts w:cs="Arial"/>
          <w:szCs w:val="24"/>
        </w:rPr>
        <w:footnoteReference w:id="65"/>
      </w:r>
      <w:r>
        <w:rPr>
          <w:rFonts w:cs="Arial"/>
          <w:szCs w:val="24"/>
        </w:rPr>
        <w:t xml:space="preserve"> et</w:t>
      </w:r>
      <w:r w:rsidRPr="00377607">
        <w:rPr>
          <w:rFonts w:cs="Arial"/>
          <w:szCs w:val="24"/>
        </w:rPr>
        <w:t xml:space="preserve"> en maximisant les objectifs de justice corrective associés à la réinsertion sociale</w:t>
      </w:r>
      <w:r>
        <w:rPr>
          <w:rFonts w:cs="Arial"/>
          <w:szCs w:val="24"/>
        </w:rPr>
        <w:t xml:space="preserve">. </w:t>
      </w:r>
      <w:r w:rsidRPr="00377607">
        <w:rPr>
          <w:rFonts w:cs="Arial"/>
          <w:szCs w:val="24"/>
        </w:rPr>
        <w:t>Les conditions d</w:t>
      </w:r>
      <w:r>
        <w:rPr>
          <w:rFonts w:cs="Arial"/>
          <w:szCs w:val="24"/>
        </w:rPr>
        <w:t>’</w:t>
      </w:r>
      <w:r w:rsidRPr="00377607">
        <w:rPr>
          <w:rFonts w:cs="Arial"/>
          <w:szCs w:val="24"/>
        </w:rPr>
        <w:t>une peine d</w:t>
      </w:r>
      <w:r>
        <w:rPr>
          <w:rFonts w:cs="Arial"/>
          <w:szCs w:val="24"/>
        </w:rPr>
        <w:t>’</w:t>
      </w:r>
      <w:r w:rsidRPr="00377607">
        <w:rPr>
          <w:rFonts w:cs="Arial"/>
          <w:szCs w:val="24"/>
        </w:rPr>
        <w:t xml:space="preserve">emprisonnement avec sursis peuvent être modulées afin de garantir la pleine réalisation de ces objectifs tout en menant à une peine proportionnée. </w:t>
      </w:r>
    </w:p>
    <w:p w14:paraId="2FEA8445" w14:textId="77777777" w:rsidR="005C67B6" w:rsidRPr="00745CB7" w:rsidRDefault="005C67B6" w:rsidP="005C67B6">
      <w:pPr>
        <w:pStyle w:val="Paragraphe"/>
        <w:numPr>
          <w:ilvl w:val="0"/>
          <w:numId w:val="0"/>
        </w:numPr>
        <w:spacing w:before="240" w:after="240" w:line="240" w:lineRule="auto"/>
        <w:rPr>
          <w:rFonts w:cs="Arial"/>
          <w:b/>
          <w:bCs/>
          <w:szCs w:val="24"/>
        </w:rPr>
      </w:pPr>
      <w:r w:rsidRPr="00F55D99">
        <w:rPr>
          <w:rFonts w:cs="Arial"/>
          <w:b/>
          <w:bCs/>
          <w:szCs w:val="24"/>
        </w:rPr>
        <w:t xml:space="preserve">POUR CES MOTIFS, JE PROPOSE LES CONCLUSIONS SUIVANTES : </w:t>
      </w:r>
    </w:p>
    <w:p w14:paraId="52E122CE" w14:textId="77777777" w:rsidR="005C67B6" w:rsidRPr="00745CB7" w:rsidRDefault="005C67B6" w:rsidP="005C67B6">
      <w:pPr>
        <w:pStyle w:val="Paragraphe"/>
        <w:spacing w:line="240" w:lineRule="auto"/>
        <w:rPr>
          <w:rFonts w:cs="Arial"/>
          <w:szCs w:val="24"/>
        </w:rPr>
      </w:pPr>
      <w:r w:rsidRPr="00F55D99">
        <w:rPr>
          <w:rFonts w:cs="Arial"/>
          <w:b/>
          <w:bCs/>
          <w:szCs w:val="24"/>
        </w:rPr>
        <w:t>ACCUEILL</w:t>
      </w:r>
      <w:r>
        <w:rPr>
          <w:rFonts w:cs="Arial"/>
          <w:b/>
          <w:bCs/>
          <w:szCs w:val="24"/>
        </w:rPr>
        <w:t xml:space="preserve">E </w:t>
      </w:r>
      <w:r>
        <w:rPr>
          <w:rFonts w:cs="Arial"/>
          <w:szCs w:val="24"/>
        </w:rPr>
        <w:t>l</w:t>
      </w:r>
      <w:r w:rsidRPr="00F55D99">
        <w:rPr>
          <w:rFonts w:cs="Arial"/>
          <w:szCs w:val="24"/>
        </w:rPr>
        <w:t>a requête en autorisation</w:t>
      </w:r>
      <w:r>
        <w:rPr>
          <w:rFonts w:cs="Arial"/>
          <w:szCs w:val="24"/>
        </w:rPr>
        <w:t xml:space="preserve"> d’appel</w:t>
      </w:r>
      <w:r w:rsidRPr="00F55D99">
        <w:rPr>
          <w:rFonts w:cs="Arial"/>
          <w:szCs w:val="24"/>
        </w:rPr>
        <w:t xml:space="preserve"> et </w:t>
      </w:r>
      <w:r w:rsidRPr="00F55D99">
        <w:rPr>
          <w:rFonts w:cs="Arial"/>
          <w:b/>
          <w:bCs/>
          <w:szCs w:val="24"/>
        </w:rPr>
        <w:t>AUTORISE</w:t>
      </w:r>
      <w:r w:rsidRPr="00F55D99">
        <w:rPr>
          <w:rFonts w:cs="Arial"/>
          <w:szCs w:val="24"/>
        </w:rPr>
        <w:t xml:space="preserve"> le PGQ en tant que partie pour présenter des observations sur la validité constitutionnelle des peines minimales obligatoires pour production et distribution de pornographie juvénile; </w:t>
      </w:r>
    </w:p>
    <w:p w14:paraId="22012D94" w14:textId="77777777" w:rsidR="005C67B6" w:rsidRPr="00745CB7" w:rsidRDefault="005C67B6" w:rsidP="005C67B6">
      <w:pPr>
        <w:pStyle w:val="Paragraphe"/>
        <w:spacing w:line="240" w:lineRule="auto"/>
        <w:rPr>
          <w:rFonts w:cs="Arial"/>
          <w:szCs w:val="24"/>
        </w:rPr>
      </w:pPr>
      <w:r w:rsidRPr="00F55D99">
        <w:rPr>
          <w:rFonts w:cs="Arial"/>
          <w:b/>
          <w:bCs/>
          <w:szCs w:val="24"/>
        </w:rPr>
        <w:t>REJET</w:t>
      </w:r>
      <w:r>
        <w:rPr>
          <w:rFonts w:cs="Arial"/>
          <w:b/>
          <w:bCs/>
          <w:szCs w:val="24"/>
        </w:rPr>
        <w:t>TE</w:t>
      </w:r>
      <w:r w:rsidRPr="00F55D99">
        <w:rPr>
          <w:rFonts w:cs="Arial"/>
          <w:szCs w:val="24"/>
        </w:rPr>
        <w:t xml:space="preserve"> l</w:t>
      </w:r>
      <w:r>
        <w:rPr>
          <w:rFonts w:cs="Arial"/>
          <w:szCs w:val="24"/>
        </w:rPr>
        <w:t>’</w:t>
      </w:r>
      <w:r w:rsidRPr="00F55D99">
        <w:rPr>
          <w:rFonts w:cs="Arial"/>
          <w:szCs w:val="24"/>
        </w:rPr>
        <w:t>appel de la déclaration d</w:t>
      </w:r>
      <w:r>
        <w:rPr>
          <w:rFonts w:cs="Arial"/>
          <w:szCs w:val="24"/>
        </w:rPr>
        <w:t>’</w:t>
      </w:r>
      <w:r w:rsidRPr="00F55D99">
        <w:rPr>
          <w:rFonts w:cs="Arial"/>
          <w:szCs w:val="24"/>
        </w:rPr>
        <w:t>inopérabilité des peines minimales obligatoires pour production, distribution et possession de pornographie juvénile;</w:t>
      </w:r>
    </w:p>
    <w:p w14:paraId="223E3A18" w14:textId="77777777" w:rsidR="005C67B6" w:rsidRPr="00745CB7" w:rsidRDefault="005C67B6" w:rsidP="005C67B6">
      <w:pPr>
        <w:pStyle w:val="Paragraphe"/>
        <w:spacing w:line="240" w:lineRule="auto"/>
        <w:rPr>
          <w:rFonts w:cs="Arial"/>
          <w:szCs w:val="24"/>
        </w:rPr>
      </w:pPr>
      <w:r w:rsidRPr="00377607">
        <w:rPr>
          <w:rFonts w:cs="Arial"/>
          <w:b/>
          <w:bCs/>
          <w:szCs w:val="24"/>
        </w:rPr>
        <w:t>DÉCLARE</w:t>
      </w:r>
      <w:r w:rsidRPr="00377607">
        <w:rPr>
          <w:rFonts w:cs="Arial"/>
          <w:szCs w:val="24"/>
        </w:rPr>
        <w:t xml:space="preserve"> invalides les peines minimales obligatoires pour production et distribution de pornographie juvénile;</w:t>
      </w:r>
    </w:p>
    <w:p w14:paraId="48476E74" w14:textId="77777777" w:rsidR="005C67B6" w:rsidRPr="00745CB7" w:rsidRDefault="005C67B6" w:rsidP="005C67B6">
      <w:pPr>
        <w:pStyle w:val="Paragraphe"/>
        <w:spacing w:line="240" w:lineRule="auto"/>
        <w:rPr>
          <w:rFonts w:cs="Arial"/>
          <w:szCs w:val="24"/>
        </w:rPr>
      </w:pPr>
      <w:r w:rsidRPr="00377607">
        <w:rPr>
          <w:rFonts w:cs="Arial"/>
          <w:b/>
          <w:bCs/>
          <w:szCs w:val="24"/>
        </w:rPr>
        <w:t>ACCUEILL</w:t>
      </w:r>
      <w:r>
        <w:rPr>
          <w:rFonts w:cs="Arial"/>
          <w:b/>
          <w:bCs/>
          <w:szCs w:val="24"/>
        </w:rPr>
        <w:t>E</w:t>
      </w:r>
      <w:r w:rsidRPr="00377607">
        <w:rPr>
          <w:rFonts w:cs="Arial"/>
          <w:szCs w:val="24"/>
        </w:rPr>
        <w:t xml:space="preserve"> l</w:t>
      </w:r>
      <w:r>
        <w:rPr>
          <w:rFonts w:cs="Arial"/>
          <w:szCs w:val="24"/>
        </w:rPr>
        <w:t>’</w:t>
      </w:r>
      <w:r w:rsidRPr="00377607">
        <w:rPr>
          <w:rFonts w:cs="Arial"/>
          <w:szCs w:val="24"/>
        </w:rPr>
        <w:t xml:space="preserve">appel des peines discontinues concurrentes de </w:t>
      </w:r>
      <w:r>
        <w:rPr>
          <w:rFonts w:cs="Arial"/>
          <w:szCs w:val="24"/>
        </w:rPr>
        <w:t>trois mois</w:t>
      </w:r>
      <w:r w:rsidRPr="00377607">
        <w:rPr>
          <w:rFonts w:cs="Arial"/>
          <w:szCs w:val="24"/>
        </w:rPr>
        <w:t xml:space="preserve"> prononcées par la Cour du Québec; </w:t>
      </w:r>
    </w:p>
    <w:p w14:paraId="776539C5" w14:textId="77777777" w:rsidR="005C67B6" w:rsidRPr="00745CB7" w:rsidRDefault="005C67B6" w:rsidP="005C67B6">
      <w:pPr>
        <w:pStyle w:val="Paragraphe"/>
        <w:spacing w:line="240" w:lineRule="auto"/>
        <w:rPr>
          <w:rFonts w:cs="Arial"/>
          <w:szCs w:val="24"/>
        </w:rPr>
      </w:pPr>
      <w:r w:rsidRPr="00377607">
        <w:rPr>
          <w:rFonts w:cs="Arial"/>
          <w:b/>
          <w:bCs/>
          <w:szCs w:val="24"/>
        </w:rPr>
        <w:t>ANNULE</w:t>
      </w:r>
      <w:r w:rsidRPr="00377607">
        <w:rPr>
          <w:rFonts w:cs="Arial"/>
          <w:szCs w:val="24"/>
        </w:rPr>
        <w:t xml:space="preserve"> les peines discontinues concurrentes de </w:t>
      </w:r>
      <w:r>
        <w:rPr>
          <w:rFonts w:cs="Arial"/>
          <w:szCs w:val="24"/>
        </w:rPr>
        <w:t>trois mois</w:t>
      </w:r>
      <w:r w:rsidRPr="00377607">
        <w:rPr>
          <w:rFonts w:cs="Arial"/>
          <w:szCs w:val="24"/>
        </w:rPr>
        <w:t xml:space="preserve"> prononcées par la Cour du Québec; </w:t>
      </w:r>
    </w:p>
    <w:p w14:paraId="01662E69" w14:textId="77777777" w:rsidR="005C67B6" w:rsidRDefault="005C67B6" w:rsidP="005C67B6">
      <w:pPr>
        <w:pStyle w:val="Paragraphe"/>
        <w:spacing w:line="240" w:lineRule="auto"/>
        <w:rPr>
          <w:rFonts w:cs="Arial"/>
          <w:szCs w:val="24"/>
        </w:rPr>
      </w:pPr>
      <w:r>
        <w:rPr>
          <w:rFonts w:cs="Arial"/>
          <w:b/>
          <w:bCs/>
          <w:szCs w:val="24"/>
        </w:rPr>
        <w:t xml:space="preserve">Y </w:t>
      </w:r>
      <w:r w:rsidRPr="00377607">
        <w:rPr>
          <w:rFonts w:cs="Arial"/>
          <w:b/>
          <w:bCs/>
          <w:szCs w:val="24"/>
        </w:rPr>
        <w:t>SUBSTITUE</w:t>
      </w:r>
      <w:r w:rsidRPr="00377607">
        <w:rPr>
          <w:rFonts w:cs="Arial"/>
          <w:szCs w:val="24"/>
        </w:rPr>
        <w:t xml:space="preserve"> des peines concurrentes d</w:t>
      </w:r>
      <w:r>
        <w:rPr>
          <w:rFonts w:cs="Arial"/>
          <w:szCs w:val="24"/>
        </w:rPr>
        <w:t>’</w:t>
      </w:r>
      <w:r w:rsidRPr="00377607">
        <w:rPr>
          <w:rFonts w:cs="Arial"/>
          <w:szCs w:val="24"/>
        </w:rPr>
        <w:t xml:space="preserve">emprisonnement avec sursis de </w:t>
      </w:r>
      <w:r>
        <w:rPr>
          <w:rFonts w:cs="Arial"/>
          <w:szCs w:val="24"/>
        </w:rPr>
        <w:t xml:space="preserve">douze </w:t>
      </w:r>
      <w:r w:rsidRPr="00377607">
        <w:rPr>
          <w:rFonts w:cs="Arial"/>
          <w:szCs w:val="24"/>
        </w:rPr>
        <w:t xml:space="preserve">mois sur les chefs de production et de distribution de pornographie juvénile et de neuf mois sur le chef de possession de pornographie juvénile, lesquelles tiennent compte du temps déjà purgé en exécution des peines ordonnées par la Cour du Québec, assorties des conditions suivantes : </w:t>
      </w:r>
    </w:p>
    <w:p w14:paraId="480F1EBA" w14:textId="77777777" w:rsidR="005C67B6" w:rsidRPr="00745CB7" w:rsidRDefault="005C67B6" w:rsidP="00825673">
      <w:pPr>
        <w:pStyle w:val="Paragraphe"/>
        <w:numPr>
          <w:ilvl w:val="0"/>
          <w:numId w:val="28"/>
        </w:numPr>
        <w:spacing w:line="240" w:lineRule="auto"/>
        <w:ind w:left="1094" w:hanging="357"/>
        <w:rPr>
          <w:rFonts w:cs="Arial"/>
          <w:szCs w:val="24"/>
        </w:rPr>
      </w:pPr>
      <w:r w:rsidRPr="00377607">
        <w:rPr>
          <w:rFonts w:cs="Arial"/>
          <w:b/>
          <w:bCs/>
          <w:szCs w:val="24"/>
        </w:rPr>
        <w:t>ÊTRE</w:t>
      </w:r>
      <w:r w:rsidRPr="00377607">
        <w:rPr>
          <w:rFonts w:cs="Arial"/>
          <w:szCs w:val="24"/>
        </w:rPr>
        <w:t xml:space="preserve"> présente à sa résidence ou à celle de ses enfants en tout temps au cours des neuf premiers mois, sous réserve des exceptions suivantes qui incluent un temps de transport raisonnable; </w:t>
      </w:r>
    </w:p>
    <w:p w14:paraId="071AA256" w14:textId="77777777" w:rsidR="005C67B6" w:rsidRDefault="005C67B6" w:rsidP="00825673">
      <w:pPr>
        <w:pStyle w:val="Paragraphe"/>
        <w:numPr>
          <w:ilvl w:val="0"/>
          <w:numId w:val="28"/>
        </w:numPr>
        <w:spacing w:line="240" w:lineRule="auto"/>
        <w:ind w:left="1094" w:hanging="357"/>
        <w:rPr>
          <w:rFonts w:cs="Arial"/>
          <w:szCs w:val="24"/>
        </w:rPr>
      </w:pPr>
      <w:r w:rsidRPr="00377607">
        <w:rPr>
          <w:rFonts w:cs="Arial"/>
          <w:b/>
          <w:bCs/>
          <w:szCs w:val="24"/>
        </w:rPr>
        <w:t>ÊTRE</w:t>
      </w:r>
      <w:r w:rsidRPr="00377607">
        <w:rPr>
          <w:rFonts w:cs="Arial"/>
          <w:szCs w:val="24"/>
        </w:rPr>
        <w:t xml:space="preserve"> présente à sa résidence ou à celle de ses enfants en tout temps entre 20 h et 6 h au cours des trois mois restants</w:t>
      </w:r>
      <w:r>
        <w:rPr>
          <w:rFonts w:cs="Arial"/>
          <w:szCs w:val="24"/>
        </w:rPr>
        <w:t>;</w:t>
      </w:r>
    </w:p>
    <w:p w14:paraId="23D2773D" w14:textId="77777777" w:rsidR="005C67B6" w:rsidRPr="00745CB7" w:rsidRDefault="005C67B6" w:rsidP="00825673">
      <w:pPr>
        <w:pStyle w:val="Paragraphe"/>
        <w:numPr>
          <w:ilvl w:val="0"/>
          <w:numId w:val="28"/>
        </w:numPr>
        <w:spacing w:line="240" w:lineRule="auto"/>
        <w:ind w:left="1094" w:hanging="357"/>
        <w:rPr>
          <w:rFonts w:cs="Arial"/>
          <w:szCs w:val="24"/>
        </w:rPr>
      </w:pPr>
      <w:r w:rsidRPr="00475D93">
        <w:rPr>
          <w:rFonts w:cs="Arial"/>
          <w:b/>
          <w:bCs/>
          <w:szCs w:val="24"/>
        </w:rPr>
        <w:t>SAUF</w:t>
      </w:r>
      <w:r>
        <w:rPr>
          <w:rFonts w:cs="Arial"/>
          <w:szCs w:val="24"/>
        </w:rPr>
        <w:t xml:space="preserve"> dans la mesure autorisée par un agent de probation;</w:t>
      </w:r>
    </w:p>
    <w:p w14:paraId="5C352943" w14:textId="77777777" w:rsidR="005C67B6" w:rsidRPr="00745CB7" w:rsidRDefault="005C67B6" w:rsidP="00825673">
      <w:pPr>
        <w:pStyle w:val="Paragraphe"/>
        <w:numPr>
          <w:ilvl w:val="0"/>
          <w:numId w:val="28"/>
        </w:numPr>
        <w:spacing w:line="240" w:lineRule="auto"/>
        <w:ind w:left="1094" w:hanging="357"/>
        <w:rPr>
          <w:rFonts w:cs="Arial"/>
          <w:szCs w:val="24"/>
        </w:rPr>
      </w:pPr>
      <w:r w:rsidRPr="00377607">
        <w:rPr>
          <w:rFonts w:cs="Arial"/>
          <w:b/>
          <w:bCs/>
          <w:szCs w:val="24"/>
        </w:rPr>
        <w:t>CONSERVER</w:t>
      </w:r>
      <w:r w:rsidRPr="00377607">
        <w:rPr>
          <w:rFonts w:cs="Arial"/>
          <w:szCs w:val="24"/>
        </w:rPr>
        <w:t xml:space="preserve"> en tout temps sur sa personne, lorsqu</w:t>
      </w:r>
      <w:r>
        <w:rPr>
          <w:rFonts w:cs="Arial"/>
          <w:szCs w:val="24"/>
        </w:rPr>
        <w:t>’</w:t>
      </w:r>
      <w:r w:rsidRPr="00377607">
        <w:rPr>
          <w:rFonts w:cs="Arial"/>
          <w:szCs w:val="24"/>
        </w:rPr>
        <w:t>à l</w:t>
      </w:r>
      <w:r>
        <w:rPr>
          <w:rFonts w:cs="Arial"/>
          <w:szCs w:val="24"/>
        </w:rPr>
        <w:t>’</w:t>
      </w:r>
      <w:r w:rsidRPr="00377607">
        <w:rPr>
          <w:rFonts w:cs="Arial"/>
          <w:szCs w:val="24"/>
        </w:rPr>
        <w:t xml:space="preserve">extérieur de sa résidence, une copie des présentes conditions; </w:t>
      </w:r>
    </w:p>
    <w:p w14:paraId="7E7CE1D4" w14:textId="77777777" w:rsidR="005C67B6" w:rsidRPr="00745CB7" w:rsidRDefault="005C67B6" w:rsidP="00825673">
      <w:pPr>
        <w:pStyle w:val="Paragraphe"/>
        <w:numPr>
          <w:ilvl w:val="0"/>
          <w:numId w:val="28"/>
        </w:numPr>
        <w:spacing w:line="240" w:lineRule="auto"/>
        <w:ind w:left="1094" w:hanging="357"/>
        <w:rPr>
          <w:rFonts w:cs="Arial"/>
          <w:szCs w:val="24"/>
        </w:rPr>
      </w:pPr>
      <w:r w:rsidRPr="00377607">
        <w:rPr>
          <w:rFonts w:cs="Arial"/>
          <w:b/>
          <w:bCs/>
          <w:szCs w:val="24"/>
        </w:rPr>
        <w:t>SE CONFORMER</w:t>
      </w:r>
      <w:r w:rsidRPr="00377607">
        <w:rPr>
          <w:rFonts w:cs="Arial"/>
          <w:szCs w:val="24"/>
        </w:rPr>
        <w:t xml:space="preserve"> à toute condition pouvant lui être imposée par un agent de probation; </w:t>
      </w:r>
    </w:p>
    <w:p w14:paraId="17F070D6" w14:textId="77777777" w:rsidR="005C67B6" w:rsidRPr="00163563" w:rsidRDefault="005C67B6" w:rsidP="00825673">
      <w:pPr>
        <w:pStyle w:val="Paragraphe"/>
        <w:numPr>
          <w:ilvl w:val="0"/>
          <w:numId w:val="28"/>
        </w:numPr>
        <w:spacing w:line="240" w:lineRule="auto"/>
        <w:ind w:left="1094" w:hanging="357"/>
        <w:rPr>
          <w:rFonts w:cs="Arial"/>
          <w:szCs w:val="24"/>
        </w:rPr>
      </w:pPr>
      <w:r w:rsidRPr="00163563">
        <w:rPr>
          <w:rFonts w:cs="Arial"/>
          <w:b/>
          <w:bCs/>
          <w:szCs w:val="24"/>
        </w:rPr>
        <w:t>SE PRÉSENTER</w:t>
      </w:r>
      <w:r w:rsidRPr="00163563">
        <w:rPr>
          <w:rFonts w:cs="Arial"/>
          <w:szCs w:val="24"/>
        </w:rPr>
        <w:t xml:space="preserve"> à un agent de probation dans les 72 heures de la date du présent arrêt.</w:t>
      </w:r>
    </w:p>
    <w:p w14:paraId="7E258E17" w14:textId="77777777" w:rsidR="005C67B6" w:rsidRDefault="005C67B6" w:rsidP="005C67B6">
      <w:pPr>
        <w:pStyle w:val="Paragraphe"/>
        <w:spacing w:after="240" w:line="240" w:lineRule="auto"/>
        <w:rPr>
          <w:rFonts w:cs="Arial"/>
          <w:szCs w:val="24"/>
        </w:rPr>
      </w:pPr>
      <w:r w:rsidRPr="00377607">
        <w:rPr>
          <w:rFonts w:cs="Arial"/>
          <w:b/>
          <w:bCs/>
          <w:szCs w:val="24"/>
        </w:rPr>
        <w:t>MAINT</w:t>
      </w:r>
      <w:r>
        <w:rPr>
          <w:rFonts w:cs="Arial"/>
          <w:b/>
          <w:bCs/>
          <w:szCs w:val="24"/>
        </w:rPr>
        <w:t>IENT</w:t>
      </w:r>
      <w:r w:rsidRPr="00377607">
        <w:rPr>
          <w:rFonts w:cs="Arial"/>
          <w:szCs w:val="24"/>
        </w:rPr>
        <w:t xml:space="preserve"> en vigueur les ordonnances de probation prononcées par la Cour du Québec</w:t>
      </w:r>
      <w:r>
        <w:rPr>
          <w:rFonts w:cs="Arial"/>
          <w:szCs w:val="24"/>
        </w:rPr>
        <w:t>.</w:t>
      </w:r>
    </w:p>
    <w:tbl>
      <w:tblPr>
        <w:tblW w:w="0" w:type="auto"/>
        <w:tblLayout w:type="fixed"/>
        <w:tblCellMar>
          <w:left w:w="0" w:type="dxa"/>
          <w:right w:w="0" w:type="dxa"/>
        </w:tblCellMar>
        <w:tblLook w:val="0000" w:firstRow="0" w:lastRow="0" w:firstColumn="0" w:lastColumn="0" w:noHBand="0" w:noVBand="0"/>
      </w:tblPr>
      <w:tblGrid>
        <w:gridCol w:w="4735"/>
        <w:gridCol w:w="4625"/>
      </w:tblGrid>
      <w:tr w:rsidR="005C67B6" w14:paraId="14A208C2" w14:textId="77777777" w:rsidTr="001378A8">
        <w:trPr>
          <w:cantSplit/>
          <w:trHeight w:val="513"/>
        </w:trPr>
        <w:tc>
          <w:tcPr>
            <w:tcW w:w="9360" w:type="dxa"/>
            <w:gridSpan w:val="2"/>
          </w:tcPr>
          <w:p w14:paraId="18E141B2" w14:textId="77777777" w:rsidR="005C67B6" w:rsidRPr="00745CB7" w:rsidRDefault="005C67B6" w:rsidP="001378A8">
            <w:pPr>
              <w:spacing w:line="240" w:lineRule="auto"/>
              <w:rPr>
                <w:rFonts w:cs="Arial"/>
                <w:szCs w:val="24"/>
              </w:rPr>
            </w:pPr>
          </w:p>
        </w:tc>
      </w:tr>
      <w:tr w:rsidR="005C67B6" w14:paraId="5D6CD92A" w14:textId="77777777" w:rsidTr="001378A8">
        <w:trPr>
          <w:cantSplit/>
          <w:trHeight w:val="277"/>
        </w:trPr>
        <w:tc>
          <w:tcPr>
            <w:tcW w:w="4735" w:type="dxa"/>
            <w:vMerge w:val="restart"/>
          </w:tcPr>
          <w:p w14:paraId="2736C2B6" w14:textId="77777777" w:rsidR="005C67B6" w:rsidRPr="00745CB7" w:rsidRDefault="005C67B6" w:rsidP="001378A8">
            <w:pPr>
              <w:spacing w:line="240" w:lineRule="auto"/>
              <w:rPr>
                <w:rFonts w:cs="Arial"/>
                <w:szCs w:val="24"/>
              </w:rPr>
            </w:pPr>
          </w:p>
        </w:tc>
        <w:tc>
          <w:tcPr>
            <w:tcW w:w="4625" w:type="dxa"/>
            <w:tcBorders>
              <w:bottom w:val="single" w:sz="8" w:space="0" w:color="auto"/>
            </w:tcBorders>
          </w:tcPr>
          <w:p w14:paraId="7AD8777C" w14:textId="77777777" w:rsidR="005C67B6" w:rsidRPr="00745CB7" w:rsidRDefault="005C67B6" w:rsidP="001378A8">
            <w:pPr>
              <w:spacing w:line="240" w:lineRule="auto"/>
              <w:rPr>
                <w:rFonts w:cs="Arial"/>
                <w:szCs w:val="24"/>
              </w:rPr>
            </w:pPr>
          </w:p>
        </w:tc>
      </w:tr>
      <w:tr w:rsidR="005C67B6" w:rsidRPr="006B0837" w14:paraId="35C568C3" w14:textId="77777777" w:rsidTr="001378A8">
        <w:trPr>
          <w:cantSplit/>
          <w:trHeight w:val="276"/>
        </w:trPr>
        <w:tc>
          <w:tcPr>
            <w:tcW w:w="4735" w:type="dxa"/>
            <w:vMerge/>
          </w:tcPr>
          <w:p w14:paraId="33D409AF" w14:textId="77777777" w:rsidR="005C67B6" w:rsidRPr="00745CB7" w:rsidRDefault="005C67B6" w:rsidP="001378A8">
            <w:pPr>
              <w:spacing w:line="240" w:lineRule="auto"/>
              <w:rPr>
                <w:rFonts w:cs="Arial"/>
                <w:szCs w:val="24"/>
              </w:rPr>
            </w:pPr>
          </w:p>
        </w:tc>
        <w:tc>
          <w:tcPr>
            <w:tcW w:w="4625" w:type="dxa"/>
          </w:tcPr>
          <w:p w14:paraId="688447DA" w14:textId="68ED18CE" w:rsidR="005C67B6" w:rsidRPr="00377607" w:rsidRDefault="00C2160B" w:rsidP="001378A8">
            <w:pPr>
              <w:spacing w:line="240" w:lineRule="auto"/>
              <w:rPr>
                <w:rFonts w:cs="Arial"/>
                <w:szCs w:val="24"/>
                <w:lang w:val="en-CA"/>
              </w:rPr>
            </w:pPr>
            <w:r>
              <w:rPr>
                <w:rFonts w:cs="Arial"/>
                <w:szCs w:val="24"/>
              </w:rPr>
              <w:t>PATRICK HEALY, J.C.A.</w:t>
            </w:r>
          </w:p>
        </w:tc>
      </w:tr>
    </w:tbl>
    <w:p w14:paraId="200A445F" w14:textId="77777777" w:rsidR="005C67B6" w:rsidRPr="00DE01FB" w:rsidRDefault="005C67B6" w:rsidP="005C67B6">
      <w:pPr>
        <w:rPr>
          <w:lang w:val="en-CA"/>
        </w:rPr>
        <w:sectPr w:rsidR="005C67B6" w:rsidRPr="00DE01FB" w:rsidSect="005C67B6">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2" w:h="15842" w:code="1"/>
          <w:pgMar w:top="1440" w:right="1008" w:bottom="1440" w:left="1872" w:header="1440" w:footer="792" w:gutter="0"/>
          <w:cols w:space="720"/>
          <w:formProt w:val="0"/>
          <w:docGrid w:linePitch="326"/>
        </w:sectPr>
      </w:pPr>
    </w:p>
    <w:tbl>
      <w:tblPr>
        <w:tblW w:w="0" w:type="auto"/>
        <w:tblLayout w:type="fixed"/>
        <w:tblCellMar>
          <w:left w:w="0" w:type="dxa"/>
          <w:right w:w="0" w:type="dxa"/>
        </w:tblCellMar>
        <w:tblLook w:val="0000" w:firstRow="0" w:lastRow="0" w:firstColumn="0" w:lastColumn="0" w:noHBand="0" w:noVBand="0"/>
      </w:tblPr>
      <w:tblGrid>
        <w:gridCol w:w="9360"/>
      </w:tblGrid>
      <w:tr w:rsidR="005C67B6" w:rsidRPr="006B0837" w14:paraId="6D3A2140" w14:textId="77777777" w:rsidTr="001378A8">
        <w:tc>
          <w:tcPr>
            <w:tcW w:w="9360" w:type="dxa"/>
            <w:tcBorders>
              <w:bottom w:val="single" w:sz="8" w:space="0" w:color="auto"/>
            </w:tcBorders>
          </w:tcPr>
          <w:p w14:paraId="44EDAE07" w14:textId="77777777" w:rsidR="005C67B6" w:rsidRPr="00DE01FB" w:rsidRDefault="005C67B6" w:rsidP="001378A8">
            <w:pPr>
              <w:rPr>
                <w:lang w:val="en-CA"/>
              </w:rPr>
            </w:pPr>
          </w:p>
        </w:tc>
      </w:tr>
      <w:tr w:rsidR="005C67B6" w:rsidRPr="006B0837" w14:paraId="166812CA" w14:textId="77777777" w:rsidTr="001378A8">
        <w:tc>
          <w:tcPr>
            <w:tcW w:w="9360" w:type="dxa"/>
            <w:tcBorders>
              <w:top w:val="single" w:sz="8" w:space="0" w:color="auto"/>
            </w:tcBorders>
          </w:tcPr>
          <w:p w14:paraId="6A1A84DD" w14:textId="77777777" w:rsidR="005C67B6" w:rsidRPr="00DE01FB" w:rsidRDefault="005C67B6" w:rsidP="001378A8">
            <w:pPr>
              <w:rPr>
                <w:lang w:val="en-CA"/>
              </w:rPr>
            </w:pPr>
          </w:p>
        </w:tc>
      </w:tr>
      <w:tr w:rsidR="005C67B6" w14:paraId="388E0195" w14:textId="77777777" w:rsidTr="001378A8">
        <w:tc>
          <w:tcPr>
            <w:tcW w:w="9360" w:type="dxa"/>
          </w:tcPr>
          <w:p w14:paraId="31A59691" w14:textId="4143237A" w:rsidR="005C67B6" w:rsidRDefault="00C2160B" w:rsidP="001378A8">
            <w:pPr>
              <w:pStyle w:val="zSoquijlblOpinionJuge"/>
            </w:pPr>
            <w:r>
              <w:t>MOTIFS DE LA JUGE</w:t>
            </w:r>
            <w:r w:rsidR="005C67B6">
              <w:t xml:space="preserve"> </w:t>
            </w:r>
            <w:r>
              <w:t>WEITZMAN</w:t>
            </w:r>
          </w:p>
        </w:tc>
      </w:tr>
      <w:tr w:rsidR="005C67B6" w14:paraId="2B5F0F3A" w14:textId="77777777" w:rsidTr="001378A8">
        <w:tc>
          <w:tcPr>
            <w:tcW w:w="9360" w:type="dxa"/>
            <w:tcBorders>
              <w:bottom w:val="single" w:sz="8" w:space="0" w:color="auto"/>
            </w:tcBorders>
          </w:tcPr>
          <w:p w14:paraId="3ADF80DA" w14:textId="77777777" w:rsidR="005C67B6" w:rsidRDefault="005C67B6" w:rsidP="001378A8"/>
        </w:tc>
      </w:tr>
      <w:tr w:rsidR="005C67B6" w14:paraId="0E466713" w14:textId="77777777" w:rsidTr="001378A8">
        <w:tc>
          <w:tcPr>
            <w:tcW w:w="9360" w:type="dxa"/>
            <w:tcBorders>
              <w:top w:val="single" w:sz="8" w:space="0" w:color="auto"/>
            </w:tcBorders>
          </w:tcPr>
          <w:p w14:paraId="78D7EA5A" w14:textId="77777777" w:rsidR="005C67B6" w:rsidRDefault="005C67B6" w:rsidP="001378A8"/>
        </w:tc>
      </w:tr>
    </w:tbl>
    <w:p w14:paraId="3DECF86D" w14:textId="7B6485E3" w:rsidR="005C67B6" w:rsidRDefault="005C67B6" w:rsidP="005C67B6">
      <w:pPr>
        <w:pStyle w:val="Paragraphe"/>
        <w:spacing w:before="240" w:line="240" w:lineRule="auto"/>
      </w:pPr>
      <w:r>
        <w:t xml:space="preserve">La question du </w:t>
      </w:r>
      <w:r w:rsidRPr="007D74DB">
        <w:t xml:space="preserve">droit d’appel du </w:t>
      </w:r>
      <w:r w:rsidR="006D0A55">
        <w:t>p</w:t>
      </w:r>
      <w:r w:rsidRPr="007241AC">
        <w:t>rocureur général du Québec (« PGQ »)</w:t>
      </w:r>
      <w:r w:rsidRPr="007241AC">
        <w:rPr>
          <w:rStyle w:val="Appelnotedebasdep"/>
        </w:rPr>
        <w:footnoteReference w:id="66"/>
      </w:r>
      <w:r>
        <w:t xml:space="preserve"> en l’espèce est essentiellement théorique, puisque personne ne conteste le droit de ce </w:t>
      </w:r>
      <w:r w:rsidRPr="00E524A6">
        <w:t>dernier d’agir</w:t>
      </w:r>
      <w:r>
        <w:t xml:space="preserve"> à titre de mis en cause, de déposer une argumentation écrite et de formuler ses observations sur la constitutionnalité des peines minimales dont il est question ici. </w:t>
      </w:r>
    </w:p>
    <w:p w14:paraId="47035419" w14:textId="77777777" w:rsidR="005C67B6" w:rsidRDefault="005C67B6" w:rsidP="005C67B6">
      <w:pPr>
        <w:pStyle w:val="Paragraphe"/>
        <w:spacing w:line="240" w:lineRule="auto"/>
      </w:pPr>
      <w:r w:rsidRPr="000569BD">
        <w:t xml:space="preserve">Cela étant, </w:t>
      </w:r>
      <w:r>
        <w:t>et ce avec égards, je ne peux souscrire à l’analyse proposée par le juge Healy quant aux deux questions soulevées par la demande d’autorisation d’appel du PGQ. Pour plus de clarté, je reproduis de nouveau les questions formulées par le juge Vauclair dans son jugement qui les défère à la formation :</w:t>
      </w:r>
    </w:p>
    <w:p w14:paraId="65BE2F80" w14:textId="77777777" w:rsidR="005C67B6" w:rsidRDefault="005C67B6" w:rsidP="005C67B6">
      <w:pPr>
        <w:pStyle w:val="Paragraphe"/>
        <w:numPr>
          <w:ilvl w:val="0"/>
          <w:numId w:val="0"/>
        </w:numPr>
        <w:spacing w:line="240" w:lineRule="auto"/>
        <w:ind w:left="709"/>
      </w:pPr>
      <w:r>
        <w:t xml:space="preserve">1.  </w:t>
      </w:r>
      <w:bookmarkStart w:id="16" w:name="_Hlk222677259"/>
      <w:r>
        <w:t xml:space="preserve">L’article 676 du </w:t>
      </w:r>
      <w:r w:rsidRPr="002B5289">
        <w:rPr>
          <w:i/>
          <w:iCs/>
        </w:rPr>
        <w:t>Code criminel</w:t>
      </w:r>
      <w:r>
        <w:t xml:space="preserve"> (« </w:t>
      </w:r>
      <w:r w:rsidRPr="002B5289">
        <w:rPr>
          <w:i/>
          <w:iCs/>
        </w:rPr>
        <w:t>C.cr.</w:t>
      </w:r>
      <w:r>
        <w:rPr>
          <w:i/>
          <w:iCs/>
        </w:rPr>
        <w:t xml:space="preserve"> </w:t>
      </w:r>
      <w:r w:rsidRPr="00F029D2">
        <w:t>»</w:t>
      </w:r>
      <w:r>
        <w:rPr>
          <w:i/>
          <w:iCs/>
        </w:rPr>
        <w:t>)</w:t>
      </w:r>
      <w:r>
        <w:t xml:space="preserve"> confère-t-il au PGQ un droit d’appel devant la Cour d’appel dans le cadre d’un appel initié par le DPCP?</w:t>
      </w:r>
      <w:bookmarkEnd w:id="16"/>
    </w:p>
    <w:p w14:paraId="4C313B55" w14:textId="77777777" w:rsidR="005C67B6" w:rsidRPr="000569BD" w:rsidRDefault="005C67B6" w:rsidP="005C67B6">
      <w:pPr>
        <w:pStyle w:val="Paragraphe"/>
        <w:numPr>
          <w:ilvl w:val="0"/>
          <w:numId w:val="0"/>
        </w:numPr>
        <w:spacing w:line="240" w:lineRule="auto"/>
        <w:ind w:left="709"/>
      </w:pPr>
      <w:r>
        <w:t>2</w:t>
      </w:r>
      <w:bookmarkStart w:id="17" w:name="_Hlk222677312"/>
      <w:r>
        <w:t xml:space="preserve">.  Le </w:t>
      </w:r>
      <w:r w:rsidRPr="002B5289">
        <w:rPr>
          <w:i/>
          <w:iCs/>
        </w:rPr>
        <w:t>Code de procédure civile</w:t>
      </w:r>
      <w:r>
        <w:t xml:space="preserve"> (« </w:t>
      </w:r>
      <w:r w:rsidRPr="002B5289">
        <w:rPr>
          <w:i/>
          <w:iCs/>
        </w:rPr>
        <w:t>C.p.c</w:t>
      </w:r>
      <w:r>
        <w:rPr>
          <w:i/>
          <w:iCs/>
        </w:rPr>
        <w:t> </w:t>
      </w:r>
      <w:r w:rsidRPr="003669E9">
        <w:t>»</w:t>
      </w:r>
      <w:r>
        <w:t>) confère-t-il au PGQ un droit d’appel devant la Cour d’appel sur les questions constitutionnelles soulevées dans le cadre d’une procédure criminelle</w:t>
      </w:r>
      <w:bookmarkEnd w:id="17"/>
      <w:r>
        <w:t>?</w:t>
      </w:r>
      <w:r>
        <w:rPr>
          <w:rStyle w:val="Appelnotedebasdep"/>
        </w:rPr>
        <w:footnoteReference w:id="67"/>
      </w:r>
    </w:p>
    <w:p w14:paraId="17BE130F" w14:textId="77777777" w:rsidR="005C67B6" w:rsidRPr="000569BD" w:rsidRDefault="005C67B6" w:rsidP="005C67B6">
      <w:pPr>
        <w:pStyle w:val="Paragraphe"/>
        <w:numPr>
          <w:ilvl w:val="0"/>
          <w:numId w:val="0"/>
        </w:numPr>
        <w:spacing w:line="240" w:lineRule="auto"/>
        <w:rPr>
          <w:u w:val="single"/>
        </w:rPr>
      </w:pPr>
      <w:r w:rsidRPr="006D0A55">
        <w:t xml:space="preserve">1. </w:t>
      </w:r>
      <w:r w:rsidRPr="006B59E6">
        <w:rPr>
          <w:u w:val="single"/>
        </w:rPr>
        <w:t xml:space="preserve">L’article 676 </w:t>
      </w:r>
      <w:r w:rsidRPr="002B5289">
        <w:rPr>
          <w:i/>
          <w:iCs/>
          <w:u w:val="single"/>
        </w:rPr>
        <w:t>C.cr.</w:t>
      </w:r>
      <w:r w:rsidRPr="006B59E6">
        <w:rPr>
          <w:u w:val="single"/>
        </w:rPr>
        <w:t xml:space="preserve"> confère-t-il au PGQ un droit d’appel devant la Cour d’appel dans le cadre d’un appel initié par le DPCP?</w:t>
      </w:r>
    </w:p>
    <w:p w14:paraId="71EDDE7E" w14:textId="77777777" w:rsidR="005C67B6" w:rsidRPr="00851F7B" w:rsidRDefault="005C67B6" w:rsidP="005C67B6">
      <w:pPr>
        <w:pStyle w:val="Paragraphe"/>
        <w:spacing w:line="240" w:lineRule="auto"/>
      </w:pPr>
      <w:r w:rsidRPr="00851F7B">
        <w:t>L’a</w:t>
      </w:r>
      <w:r>
        <w:t>linéa</w:t>
      </w:r>
      <w:r w:rsidRPr="00851F7B">
        <w:t xml:space="preserve"> 676(</w:t>
      </w:r>
      <w:r>
        <w:t>1</w:t>
      </w:r>
      <w:r w:rsidRPr="00851F7B">
        <w:t xml:space="preserve">)d) </w:t>
      </w:r>
      <w:r w:rsidRPr="00851F7B">
        <w:rPr>
          <w:i/>
          <w:iCs/>
        </w:rPr>
        <w:t xml:space="preserve">C.cr. </w:t>
      </w:r>
      <w:r w:rsidRPr="00851F7B">
        <w:t xml:space="preserve">prévoit que « [l]e procureur général […] peut introduire un recours devant la cour d’appel avec l’autorisation de la cour d’appel ou de l’un de ses juges, contre la peine prononcée par un tribunal de première instance à l’égard de procédures par acte d’accusation… ». Le « procureur général » est défini de façon générale à l’article </w:t>
      </w:r>
      <w:r w:rsidRPr="00F029D2">
        <w:t>2</w:t>
      </w:r>
      <w:r w:rsidRPr="00851F7B">
        <w:t xml:space="preserve"> </w:t>
      </w:r>
      <w:r w:rsidRPr="00851F7B">
        <w:rPr>
          <w:i/>
          <w:iCs/>
        </w:rPr>
        <w:t xml:space="preserve">C.cr. </w:t>
      </w:r>
      <w:r w:rsidRPr="00851F7B">
        <w:t>comme « </w:t>
      </w:r>
      <w:r w:rsidRPr="008B1922">
        <w:rPr>
          <w:rFonts w:ascii="Helvetica" w:hAnsi="Helvetica" w:cs="Helvetica"/>
          <w:shd w:val="clear" w:color="auto" w:fill="FFFFFF"/>
        </w:rPr>
        <w:t xml:space="preserve">le procureur général ou le solliciteur général de la province où [des poursuites ou des procédures visées par le </w:t>
      </w:r>
      <w:r w:rsidRPr="008B1922">
        <w:rPr>
          <w:rFonts w:ascii="Helvetica" w:hAnsi="Helvetica" w:cs="Helvetica"/>
          <w:i/>
          <w:iCs/>
          <w:shd w:val="clear" w:color="auto" w:fill="FFFFFF"/>
        </w:rPr>
        <w:t>C.cr.</w:t>
      </w:r>
      <w:r w:rsidRPr="008B1922">
        <w:rPr>
          <w:rFonts w:ascii="Helvetica" w:hAnsi="Helvetica" w:cs="Helvetica"/>
          <w:shd w:val="clear" w:color="auto" w:fill="FFFFFF"/>
        </w:rPr>
        <w:t>] sont engagées ou leur substitut légitime ».</w:t>
      </w:r>
    </w:p>
    <w:p w14:paraId="4D7D82E1" w14:textId="77777777" w:rsidR="005C67B6" w:rsidRPr="00851F7B" w:rsidRDefault="005C67B6" w:rsidP="005C67B6">
      <w:pPr>
        <w:pStyle w:val="Paragraphe"/>
        <w:spacing w:line="240" w:lineRule="auto"/>
      </w:pPr>
      <w:r w:rsidRPr="00851F7B">
        <w:t xml:space="preserve">Au Québec, </w:t>
      </w:r>
      <w:r>
        <w:t>aux termes</w:t>
      </w:r>
      <w:r w:rsidRPr="00851F7B">
        <w:t xml:space="preserve"> de la </w:t>
      </w:r>
      <w:r w:rsidRPr="00851F7B">
        <w:rPr>
          <w:i/>
          <w:iCs/>
        </w:rPr>
        <w:t>Loi sur le Directeur des poursuites criminelles et pénales</w:t>
      </w:r>
      <w:r w:rsidRPr="00851F7B">
        <w:t xml:space="preserve"> (« </w:t>
      </w:r>
      <w:r w:rsidRPr="00851F7B">
        <w:rPr>
          <w:i/>
          <w:iCs/>
        </w:rPr>
        <w:t>L.D.p.c.p.</w:t>
      </w:r>
      <w:r w:rsidRPr="00851F7B">
        <w:t> </w:t>
      </w:r>
      <w:r w:rsidRPr="00F029D2">
        <w:t>»</w:t>
      </w:r>
      <w:r w:rsidRPr="00851F7B">
        <w:t>)</w:t>
      </w:r>
      <w:r w:rsidRPr="00851F7B">
        <w:rPr>
          <w:rStyle w:val="Appelnotedebasdep"/>
        </w:rPr>
        <w:footnoteReference w:id="68"/>
      </w:r>
      <w:r w:rsidRPr="00851F7B">
        <w:t xml:space="preserve">, le </w:t>
      </w:r>
      <w:r w:rsidRPr="007241AC">
        <w:t>DPCP</w:t>
      </w:r>
      <w:r w:rsidRPr="00851F7B">
        <w:t xml:space="preserve"> est « le substitut légitime du procureur général du Québec au sens du </w:t>
      </w:r>
      <w:r w:rsidRPr="002B5289">
        <w:rPr>
          <w:i/>
          <w:iCs/>
        </w:rPr>
        <w:t>Code criminel</w:t>
      </w:r>
      <w:r w:rsidRPr="00851F7B">
        <w:t> »</w:t>
      </w:r>
      <w:r>
        <w:rPr>
          <w:rStyle w:val="Appelnotedebasdep"/>
        </w:rPr>
        <w:footnoteReference w:id="69"/>
      </w:r>
      <w:r>
        <w:t>.</w:t>
      </w:r>
      <w:r w:rsidRPr="00851F7B">
        <w:t xml:space="preserve"> Ainsi, le DPCP est le « procureur général » au</w:t>
      </w:r>
      <w:r>
        <w:t xml:space="preserve"> sens</w:t>
      </w:r>
      <w:r w:rsidRPr="00851F7B">
        <w:t xml:space="preserve"> de l’a</w:t>
      </w:r>
      <w:r>
        <w:t>linéa</w:t>
      </w:r>
      <w:r w:rsidRPr="00851F7B">
        <w:t xml:space="preserve"> 676(</w:t>
      </w:r>
      <w:r>
        <w:t>1</w:t>
      </w:r>
      <w:r w:rsidRPr="00851F7B">
        <w:t xml:space="preserve">)d) </w:t>
      </w:r>
      <w:r w:rsidRPr="00851F7B">
        <w:rPr>
          <w:i/>
          <w:iCs/>
        </w:rPr>
        <w:t xml:space="preserve">C.cr. </w:t>
      </w:r>
      <w:r w:rsidRPr="00851F7B">
        <w:t xml:space="preserve">et il peut donc se prévaloir du droit d’appel consacré </w:t>
      </w:r>
      <w:r>
        <w:t>à</w:t>
      </w:r>
      <w:r w:rsidRPr="00851F7B">
        <w:t xml:space="preserve"> cette disposition. La </w:t>
      </w:r>
      <w:r w:rsidRPr="00851F7B">
        <w:rPr>
          <w:i/>
          <w:iCs/>
        </w:rPr>
        <w:t xml:space="preserve">L.D.p.c.p. </w:t>
      </w:r>
      <w:r w:rsidRPr="00851F7B">
        <w:t xml:space="preserve">précise d’ailleurs que le DPCP peut porter une </w:t>
      </w:r>
      <w:r>
        <w:t xml:space="preserve">cause </w:t>
      </w:r>
      <w:r w:rsidRPr="00851F7B">
        <w:t>en appel dans l’exercice de ses fonctions de poursuivant</w:t>
      </w:r>
      <w:r>
        <w:t>,</w:t>
      </w:r>
      <w:r w:rsidRPr="00851F7B">
        <w:t xml:space="preserve"> dans les affaires découlant de l’application du </w:t>
      </w:r>
      <w:r w:rsidRPr="00851F7B">
        <w:rPr>
          <w:i/>
          <w:iCs/>
        </w:rPr>
        <w:t>C.cr.</w:t>
      </w:r>
      <w:r w:rsidRPr="008B1922">
        <w:rPr>
          <w:rStyle w:val="Appelnotedebasdep"/>
        </w:rPr>
        <w:footnoteReference w:id="70"/>
      </w:r>
      <w:r w:rsidRPr="00851F7B">
        <w:t>.</w:t>
      </w:r>
    </w:p>
    <w:p w14:paraId="6312DC5C" w14:textId="77777777" w:rsidR="005C67B6" w:rsidRPr="00851F7B" w:rsidRDefault="005C67B6" w:rsidP="005C67B6">
      <w:pPr>
        <w:pStyle w:val="Paragraphe"/>
        <w:spacing w:line="240" w:lineRule="auto"/>
      </w:pPr>
      <w:r w:rsidRPr="00851F7B">
        <w:t xml:space="preserve">Lorsqu’une question constitutionnelle </w:t>
      </w:r>
      <w:r>
        <w:t>est</w:t>
      </w:r>
      <w:r w:rsidRPr="00851F7B">
        <w:t xml:space="preserve"> soul</w:t>
      </w:r>
      <w:r>
        <w:t>evée</w:t>
      </w:r>
      <w:r w:rsidRPr="00851F7B">
        <w:t xml:space="preserve"> dans une affaire à laquelle il prend part, le DPCP doit veiller au respect des dispositions des articles 76 à 78 </w:t>
      </w:r>
      <w:r w:rsidRPr="00851F7B">
        <w:rPr>
          <w:i/>
          <w:iCs/>
        </w:rPr>
        <w:t xml:space="preserve">C.p.c. </w:t>
      </w:r>
      <w:r w:rsidRPr="00851F7B">
        <w:t>(art. 15 al.</w:t>
      </w:r>
      <w:r>
        <w:t> </w:t>
      </w:r>
      <w:r w:rsidRPr="00851F7B">
        <w:t xml:space="preserve">1(3°) </w:t>
      </w:r>
      <w:r w:rsidRPr="00851F7B">
        <w:rPr>
          <w:i/>
          <w:iCs/>
        </w:rPr>
        <w:t>L.D.p.c.p.</w:t>
      </w:r>
      <w:r w:rsidRPr="00851F7B">
        <w:t xml:space="preserve">). L’article 76 </w:t>
      </w:r>
      <w:r w:rsidRPr="00851F7B">
        <w:rPr>
          <w:i/>
          <w:iCs/>
        </w:rPr>
        <w:t xml:space="preserve">C.p.c. </w:t>
      </w:r>
      <w:r w:rsidRPr="00851F7B">
        <w:t>exige de la personne qui entend mettre en question le caractère opérant,</w:t>
      </w:r>
      <w:r>
        <w:t xml:space="preserve"> </w:t>
      </w:r>
      <w:r w:rsidRPr="00851F7B">
        <w:t>l’applicabilité constitutionnelle ou la validité d’une disposition d’une loi du Québec ou du Canada, qu’elle en avise le procureur général du Québec. Ce dernier « devient alors, sans formalités, partie à l’instance et, s’il y a lieu, il peut soumettre ses conclusions sur lesquelles le tribunal doit se prononcer » (art.</w:t>
      </w:r>
      <w:r>
        <w:t> </w:t>
      </w:r>
      <w:r w:rsidRPr="00851F7B">
        <w:t>77</w:t>
      </w:r>
      <w:r>
        <w:t> </w:t>
      </w:r>
      <w:r w:rsidRPr="00851F7B">
        <w:rPr>
          <w:i/>
          <w:iCs/>
        </w:rPr>
        <w:t>C.p.c.</w:t>
      </w:r>
      <w:r w:rsidRPr="00851F7B">
        <w:t>).</w:t>
      </w:r>
    </w:p>
    <w:p w14:paraId="659CA177" w14:textId="77777777" w:rsidR="005C67B6" w:rsidRPr="00851F7B" w:rsidRDefault="005C67B6" w:rsidP="005C67B6">
      <w:pPr>
        <w:pStyle w:val="Paragraphe"/>
        <w:spacing w:line="240" w:lineRule="auto"/>
      </w:pPr>
      <w:r w:rsidRPr="00851F7B">
        <w:t xml:space="preserve">Lorsqu’il intervient dans une instance criminelle </w:t>
      </w:r>
      <w:r>
        <w:t>sur le fondement</w:t>
      </w:r>
      <w:r w:rsidRPr="00851F7B">
        <w:t xml:space="preserve"> des articles 76 à 78 </w:t>
      </w:r>
      <w:r w:rsidRPr="00851F7B">
        <w:rPr>
          <w:i/>
          <w:iCs/>
        </w:rPr>
        <w:t>C.p.c.</w:t>
      </w:r>
      <w:r w:rsidRPr="00851F7B">
        <w:t>, le PGQ limite ses observations</w:t>
      </w:r>
      <w:r>
        <w:t xml:space="preserve"> aux</w:t>
      </w:r>
      <w:r w:rsidRPr="00851F7B">
        <w:t xml:space="preserve"> questions constitutionnelles</w:t>
      </w:r>
      <w:r>
        <w:t xml:space="preserve">, </w:t>
      </w:r>
      <w:r w:rsidRPr="00851F7B">
        <w:t xml:space="preserve">dans le respect de </w:t>
      </w:r>
      <w:bookmarkStart w:id="21" w:name="_Hlk222816677"/>
      <w:r w:rsidRPr="00851F7B">
        <w:t xml:space="preserve">la </w:t>
      </w:r>
      <w:r w:rsidRPr="00851F7B">
        <w:rPr>
          <w:i/>
          <w:iCs/>
        </w:rPr>
        <w:t>L.D.p.c.p.</w:t>
      </w:r>
      <w:r>
        <w:t>,</w:t>
      </w:r>
      <w:r w:rsidRPr="00851F7B">
        <w:t xml:space="preserve"> </w:t>
      </w:r>
      <w:bookmarkEnd w:id="21"/>
      <w:r>
        <w:t xml:space="preserve">laquelle </w:t>
      </w:r>
      <w:r w:rsidRPr="00851F7B">
        <w:t>garantit au DPCP « une autonomie réelle dans son fonctionnement »</w:t>
      </w:r>
      <w:r w:rsidRPr="00851F7B">
        <w:rPr>
          <w:rStyle w:val="Appelnotedebasdep"/>
        </w:rPr>
        <w:footnoteReference w:id="71"/>
      </w:r>
      <w:r>
        <w:t>. L</w:t>
      </w:r>
      <w:r w:rsidRPr="00851F7B">
        <w:t xml:space="preserve">’objectif </w:t>
      </w:r>
      <w:r>
        <w:t xml:space="preserve">de </w:t>
      </w:r>
      <w:r w:rsidRPr="00851F7B">
        <w:t xml:space="preserve">la </w:t>
      </w:r>
      <w:r w:rsidRPr="00851F7B">
        <w:rPr>
          <w:i/>
          <w:iCs/>
        </w:rPr>
        <w:t>L.D.p.c.p.</w:t>
      </w:r>
      <w:r w:rsidRPr="00851F7B">
        <w:t xml:space="preserve"> est « d’isoler le service des poursuites de la dimension politique d’un gouvernement et ainsi assurer que la prise de décision par les poursuivants publics soit apolitique et, par conséquent, basée exclusivement sur des considérations d’ordre public et de saine administration de la justice »</w:t>
      </w:r>
      <w:r w:rsidRPr="00851F7B">
        <w:rPr>
          <w:rStyle w:val="Appelnotedebasdep"/>
        </w:rPr>
        <w:footnoteReference w:id="72"/>
      </w:r>
      <w:r w:rsidRPr="00851F7B">
        <w:t>.</w:t>
      </w:r>
      <w:r>
        <w:t xml:space="preserve"> De</w:t>
      </w:r>
      <w:r w:rsidRPr="00851F7B">
        <w:t xml:space="preserve"> surcroît</w:t>
      </w:r>
      <w:r>
        <w:t>, suivant la</w:t>
      </w:r>
      <w:r w:rsidRPr="00851F7B">
        <w:t xml:space="preserve"> </w:t>
      </w:r>
      <w:bookmarkStart w:id="22" w:name="_Hlk222817218"/>
      <w:r w:rsidRPr="00851F7B">
        <w:rPr>
          <w:i/>
          <w:iCs/>
        </w:rPr>
        <w:t>L.D.p.c.p</w:t>
      </w:r>
      <w:bookmarkEnd w:id="22"/>
      <w:r>
        <w:rPr>
          <w:i/>
          <w:iCs/>
        </w:rPr>
        <w:t>.</w:t>
      </w:r>
      <w:r>
        <w:t xml:space="preserve">, le DPCP a </w:t>
      </w:r>
      <w:r w:rsidRPr="00851F7B">
        <w:t>pour fonction de porter une affaire en appel lorsque, à son avis, l’intérêt de la justice l’exige</w:t>
      </w:r>
      <w:r>
        <w:rPr>
          <w:rStyle w:val="Appelnotedebasdep"/>
        </w:rPr>
        <w:footnoteReference w:id="73"/>
      </w:r>
      <w:r w:rsidRPr="00851F7B">
        <w:t>.</w:t>
      </w:r>
    </w:p>
    <w:p w14:paraId="44EB4F96" w14:textId="77777777" w:rsidR="005C67B6" w:rsidRPr="00D023D4" w:rsidRDefault="005C67B6" w:rsidP="005C67B6">
      <w:pPr>
        <w:pStyle w:val="Paragraphe"/>
        <w:spacing w:line="240" w:lineRule="auto"/>
        <w:rPr>
          <w:sz w:val="22"/>
          <w:szCs w:val="22"/>
        </w:rPr>
      </w:pPr>
      <w:r>
        <w:t xml:space="preserve">Lorsque le PGQ </w:t>
      </w:r>
      <w:r w:rsidRPr="00851F7B">
        <w:t xml:space="preserve">n’usurpe pas </w:t>
      </w:r>
      <w:r>
        <w:t xml:space="preserve">sur </w:t>
      </w:r>
      <w:r w:rsidRPr="00851F7B">
        <w:t>le</w:t>
      </w:r>
      <w:r>
        <w:t xml:space="preserve"> </w:t>
      </w:r>
      <w:r w:rsidRPr="00851F7B">
        <w:t xml:space="preserve">rôle du poursuivant et </w:t>
      </w:r>
      <w:r>
        <w:t xml:space="preserve">qu’il </w:t>
      </w:r>
      <w:r w:rsidRPr="00851F7B">
        <w:t>limite ses observations aux questions constitutionnelles ou d’intérêt public</w:t>
      </w:r>
      <w:r>
        <w:t>, son i</w:t>
      </w:r>
      <w:r w:rsidRPr="00851F7B">
        <w:t>ntervention respect</w:t>
      </w:r>
      <w:r>
        <w:t>e</w:t>
      </w:r>
      <w:r w:rsidRPr="00851F7B">
        <w:t xml:space="preserve"> « l’équilibre requis en matière criminelle »</w:t>
      </w:r>
      <w:r w:rsidRPr="00851F7B">
        <w:rPr>
          <w:rStyle w:val="Appelnotedebasdep"/>
        </w:rPr>
        <w:footnoteReference w:id="74"/>
      </w:r>
      <w:r>
        <w:t xml:space="preserve"> et le principe </w:t>
      </w:r>
      <w:r w:rsidRPr="00851F7B">
        <w:t>d’équité</w:t>
      </w:r>
      <w:r>
        <w:t xml:space="preserve">, qui exige qu’il </w:t>
      </w:r>
      <w:r w:rsidRPr="00851F7B">
        <w:t>ne puisse y avoir qu’un seul poursuivant</w:t>
      </w:r>
      <w:r w:rsidRPr="00851F7B">
        <w:rPr>
          <w:rStyle w:val="Appelnotedebasdep"/>
        </w:rPr>
        <w:footnoteReference w:id="75"/>
      </w:r>
      <w:r>
        <w:t>. La question ici est de savoir si le PGQ peut intervenir en tant qu’« appelant », soit le statut qu’il revendique dans cet appel.</w:t>
      </w:r>
    </w:p>
    <w:p w14:paraId="125902EA" w14:textId="77777777" w:rsidR="005C67B6" w:rsidRDefault="005C67B6" w:rsidP="005C67B6">
      <w:pPr>
        <w:pStyle w:val="Paragraphe"/>
        <w:spacing w:line="240" w:lineRule="auto"/>
      </w:pPr>
      <w:r w:rsidRPr="00851F7B">
        <w:t>L</w:t>
      </w:r>
      <w:r>
        <w:t>e juge Healy donn</w:t>
      </w:r>
      <w:r w:rsidRPr="00851F7B">
        <w:t xml:space="preserve">e </w:t>
      </w:r>
      <w:r>
        <w:t xml:space="preserve">raison au </w:t>
      </w:r>
      <w:r w:rsidRPr="00851F7B">
        <w:t>PGQ</w:t>
      </w:r>
      <w:r>
        <w:t xml:space="preserve"> de soutenir </w:t>
      </w:r>
      <w:r w:rsidRPr="00851F7B">
        <w:t>que</w:t>
      </w:r>
      <w:r>
        <w:t xml:space="preserve"> l’alinéa 676(1)d) </w:t>
      </w:r>
      <w:r w:rsidRPr="0042372C">
        <w:rPr>
          <w:i/>
          <w:iCs/>
        </w:rPr>
        <w:t>C</w:t>
      </w:r>
      <w:r>
        <w:rPr>
          <w:i/>
          <w:iCs/>
        </w:rPr>
        <w:t>.</w:t>
      </w:r>
      <w:r w:rsidRPr="0042372C">
        <w:rPr>
          <w:i/>
          <w:iCs/>
        </w:rPr>
        <w:t>cr</w:t>
      </w:r>
      <w:r>
        <w:rPr>
          <w:i/>
          <w:iCs/>
        </w:rPr>
        <w:t>.</w:t>
      </w:r>
      <w:r>
        <w:t xml:space="preserve"> permet qu’il y ait deux parties appelantes. Selon le PGQ, cela respecte la scission qui s’opère à l’intérieur de la </w:t>
      </w:r>
      <w:r w:rsidRPr="00851F7B">
        <w:t>charge du procureur général</w:t>
      </w:r>
      <w:r>
        <w:t xml:space="preserve"> : suivant la </w:t>
      </w:r>
      <w:r w:rsidRPr="00851F7B">
        <w:rPr>
          <w:i/>
          <w:iCs/>
        </w:rPr>
        <w:t>L.D.p.c.p.</w:t>
      </w:r>
      <w:r>
        <w:t xml:space="preserve">, le DPCP est </w:t>
      </w:r>
      <w:r w:rsidRPr="00851F7B">
        <w:t>chargé des affaires courantes concernant la culpabilité des accusés</w:t>
      </w:r>
      <w:r>
        <w:t>,</w:t>
      </w:r>
      <w:r w:rsidRPr="00851F7B">
        <w:t xml:space="preserve"> </w:t>
      </w:r>
      <w:r>
        <w:t xml:space="preserve">alors que le </w:t>
      </w:r>
      <w:r w:rsidRPr="00851F7B">
        <w:t xml:space="preserve">PGQ </w:t>
      </w:r>
      <w:r>
        <w:t xml:space="preserve">est </w:t>
      </w:r>
      <w:r w:rsidRPr="00851F7B">
        <w:t>responsable des questions constitutionnelles.</w:t>
      </w:r>
      <w:r>
        <w:t xml:space="preserve"> Avec égards, je suis d’avis que l</w:t>
      </w:r>
      <w:r w:rsidRPr="0004635B">
        <w:t>a l</w:t>
      </w:r>
      <w:r>
        <w:t>oi</w:t>
      </w:r>
      <w:r w:rsidRPr="0004635B">
        <w:t>, telle qu’elle est rédigée, ne permet pas une telle interprétation</w:t>
      </w:r>
      <w:r>
        <w:t xml:space="preserve">. Selon </w:t>
      </w:r>
      <w:r w:rsidRPr="00851F7B">
        <w:t xml:space="preserve">la </w:t>
      </w:r>
      <w:r w:rsidRPr="00851F7B">
        <w:rPr>
          <w:i/>
          <w:iCs/>
        </w:rPr>
        <w:t>L.D.p.c.p</w:t>
      </w:r>
      <w:r>
        <w:rPr>
          <w:i/>
          <w:iCs/>
        </w:rPr>
        <w:t>.</w:t>
      </w:r>
      <w:r>
        <w:t>, l</w:t>
      </w:r>
      <w:r w:rsidRPr="00851F7B">
        <w:t>e DPCP est le substitut légitime du procureur général</w:t>
      </w:r>
      <w:r>
        <w:rPr>
          <w:rStyle w:val="Appelnotedebasdep"/>
        </w:rPr>
        <w:footnoteReference w:id="76"/>
      </w:r>
      <w:r>
        <w:t>,</w:t>
      </w:r>
      <w:r w:rsidRPr="00851F7B">
        <w:t xml:space="preserve"> </w:t>
      </w:r>
      <w:r>
        <w:t xml:space="preserve">il </w:t>
      </w:r>
      <w:r w:rsidRPr="00851F7B">
        <w:t>a pour fonction</w:t>
      </w:r>
      <w:r>
        <w:t>, entre autres,</w:t>
      </w:r>
      <w:r w:rsidRPr="00851F7B">
        <w:t xml:space="preserve"> d’agir comme poursuivant</w:t>
      </w:r>
      <w:r w:rsidRPr="00D023D4">
        <w:rPr>
          <w:rFonts w:cs="Arial"/>
          <w:color w:val="212529"/>
          <w:kern w:val="0"/>
          <w:sz w:val="22"/>
          <w:szCs w:val="22"/>
          <w:shd w:val="clear" w:color="auto" w:fill="FFFFFF"/>
        </w:rPr>
        <w:t xml:space="preserve"> </w:t>
      </w:r>
      <w:r w:rsidRPr="00851F7B">
        <w:t xml:space="preserve">dans les affaires découlant de l’application du </w:t>
      </w:r>
      <w:r w:rsidRPr="00D023D4">
        <w:rPr>
          <w:i/>
          <w:iCs/>
        </w:rPr>
        <w:t>C.cr.</w:t>
      </w:r>
      <w:r w:rsidRPr="005625BE">
        <w:rPr>
          <w:rStyle w:val="Appelnotedebasdep"/>
        </w:rPr>
        <w:footnoteReference w:id="77"/>
      </w:r>
      <w:r>
        <w:rPr>
          <w:i/>
          <w:iCs/>
        </w:rPr>
        <w:t xml:space="preserve"> </w:t>
      </w:r>
      <w:r w:rsidRPr="00FE33BB">
        <w:t>e</w:t>
      </w:r>
      <w:r>
        <w:t>n plus d’</w:t>
      </w:r>
      <w:r w:rsidRPr="00851F7B">
        <w:t>exerce</w:t>
      </w:r>
      <w:r>
        <w:t>r</w:t>
      </w:r>
      <w:r w:rsidRPr="00851F7B">
        <w:t xml:space="preserve"> </w:t>
      </w:r>
      <w:r>
        <w:t>« </w:t>
      </w:r>
      <w:r w:rsidRPr="00851F7B">
        <w:t>les fonctions utiles à l’exécution de sa mission »</w:t>
      </w:r>
      <w:r>
        <w:rPr>
          <w:rStyle w:val="Appelnotedebasdep"/>
        </w:rPr>
        <w:footnoteReference w:id="78"/>
      </w:r>
      <w:r>
        <w:t>. Compte tenu de la nature même des procès criminels et de leurs enjeux, l’on ne pourrait prétendre que ces fonctions</w:t>
      </w:r>
      <w:r w:rsidRPr="00851F7B">
        <w:t xml:space="preserve"> </w:t>
      </w:r>
      <w:r>
        <w:t xml:space="preserve">excluent la responsabilité et le pouvoir de répondre à des questions d’ordre constitutionnel. La scission proposée par le PGQ ne cadre pas avec la réalité des poursuites en matière criminelle. </w:t>
      </w:r>
    </w:p>
    <w:p w14:paraId="7BD1812D" w14:textId="77777777" w:rsidR="005C67B6" w:rsidRPr="00851F7B" w:rsidRDefault="005C67B6" w:rsidP="005C67B6">
      <w:pPr>
        <w:pStyle w:val="Paragraphe"/>
        <w:spacing w:line="240" w:lineRule="auto"/>
      </w:pPr>
      <w:r>
        <w:t xml:space="preserve">Au surplus, contrairement aux prétentions du PGQ, le simple fait de devoir envoyer un avis </w:t>
      </w:r>
      <w:r w:rsidRPr="00851F7B">
        <w:t xml:space="preserve">aux procureurs généraux lorsque l’exigent les articles 76 à 78 </w:t>
      </w:r>
      <w:r w:rsidRPr="00D023D4">
        <w:rPr>
          <w:i/>
          <w:iCs/>
        </w:rPr>
        <w:t>C.p.c.</w:t>
      </w:r>
      <w:r w:rsidRPr="008B1922">
        <w:rPr>
          <w:rStyle w:val="Appelnotedebasdep"/>
        </w:rPr>
        <w:footnoteReference w:id="79"/>
      </w:r>
      <w:r w:rsidRPr="00D023D4">
        <w:rPr>
          <w:i/>
          <w:iCs/>
        </w:rPr>
        <w:t xml:space="preserve"> </w:t>
      </w:r>
      <w:r w:rsidRPr="00851F7B">
        <w:t xml:space="preserve">n’est </w:t>
      </w:r>
      <w:r>
        <w:t>pas indicatif</w:t>
      </w:r>
      <w:r w:rsidRPr="00851F7B">
        <w:t xml:space="preserve"> d’une volonté du législateur de soustraire au DPCP la faculté de se prononcer sur les questions constitutionnelles qui </w:t>
      </w:r>
      <w:r>
        <w:t>sont</w:t>
      </w:r>
      <w:r w:rsidRPr="00851F7B">
        <w:t xml:space="preserve"> soul</w:t>
      </w:r>
      <w:r>
        <w:t>evées</w:t>
      </w:r>
      <w:r w:rsidRPr="00851F7B">
        <w:t xml:space="preserve"> dans le cadre d’une instance criminelle.</w:t>
      </w:r>
      <w:r>
        <w:t xml:space="preserve"> En fait, en vertu de l’</w:t>
      </w:r>
      <w:r w:rsidRPr="00851F7B">
        <w:t>art</w:t>
      </w:r>
      <w:r>
        <w:t>icle</w:t>
      </w:r>
      <w:r w:rsidRPr="00851F7B">
        <w:t xml:space="preserve"> 78 al. 2 </w:t>
      </w:r>
      <w:r w:rsidRPr="00AE4F41">
        <w:rPr>
          <w:i/>
          <w:iCs/>
        </w:rPr>
        <w:t>C.p.c.</w:t>
      </w:r>
      <w:r>
        <w:rPr>
          <w:i/>
          <w:iCs/>
        </w:rPr>
        <w:t xml:space="preserve">, </w:t>
      </w:r>
      <w:r w:rsidRPr="00851F7B">
        <w:t xml:space="preserve">l’obligation d’envoyer un avis ne se limite pas aux cas où la validité constitutionnelle d’une loi est contestée, mais s’étend également à ceux où une réparation fondée sur la violation d’un droit prévu à la </w:t>
      </w:r>
      <w:r w:rsidRPr="00AE4F41">
        <w:rPr>
          <w:i/>
          <w:iCs/>
        </w:rPr>
        <w:t>Charte canadienne des droits et libertés</w:t>
      </w:r>
      <w:r w:rsidRPr="00851F7B">
        <w:t xml:space="preserve"> </w:t>
      </w:r>
      <w:r>
        <w:t xml:space="preserve">(« </w:t>
      </w:r>
      <w:r w:rsidRPr="002B5289">
        <w:rPr>
          <w:i/>
          <w:iCs/>
        </w:rPr>
        <w:t>Charte</w:t>
      </w:r>
      <w:r>
        <w:t xml:space="preserve"> ») </w:t>
      </w:r>
      <w:r w:rsidRPr="00851F7B">
        <w:t xml:space="preserve">est demandée </w:t>
      </w:r>
      <w:r>
        <w:t>(</w:t>
      </w:r>
      <w:r w:rsidRPr="00851F7B">
        <w:t>sauf dans certains cas précis)</w:t>
      </w:r>
      <w:r w:rsidRPr="00851F7B">
        <w:rPr>
          <w:rStyle w:val="Appelnotedebasdep"/>
        </w:rPr>
        <w:footnoteReference w:id="80"/>
      </w:r>
      <w:r w:rsidRPr="00851F7B">
        <w:t xml:space="preserve">. </w:t>
      </w:r>
      <w:r>
        <w:t xml:space="preserve">Selon le </w:t>
      </w:r>
      <w:r w:rsidRPr="00FE33BB">
        <w:rPr>
          <w:i/>
          <w:iCs/>
        </w:rPr>
        <w:t>C</w:t>
      </w:r>
      <w:r>
        <w:rPr>
          <w:i/>
          <w:iCs/>
        </w:rPr>
        <w:t>.</w:t>
      </w:r>
      <w:r w:rsidRPr="00FE33BB">
        <w:rPr>
          <w:i/>
          <w:iCs/>
        </w:rPr>
        <w:t>p</w:t>
      </w:r>
      <w:r>
        <w:rPr>
          <w:i/>
          <w:iCs/>
        </w:rPr>
        <w:t>.</w:t>
      </w:r>
      <w:r w:rsidRPr="00FE33BB">
        <w:rPr>
          <w:i/>
          <w:iCs/>
        </w:rPr>
        <w:t>c</w:t>
      </w:r>
      <w:r>
        <w:rPr>
          <w:i/>
          <w:iCs/>
        </w:rPr>
        <w:t>.</w:t>
      </w:r>
      <w:r>
        <w:t xml:space="preserve">, </w:t>
      </w:r>
      <w:r w:rsidRPr="00851F7B">
        <w:t>des requêtes en arrêt des procédures</w:t>
      </w:r>
      <w:r w:rsidRPr="00851F7B">
        <w:rPr>
          <w:rStyle w:val="Appelnotedebasdep"/>
        </w:rPr>
        <w:footnoteReference w:id="81"/>
      </w:r>
      <w:r w:rsidRPr="00851F7B">
        <w:t xml:space="preserve"> ou en réduction de peine fondées sur une violation de la </w:t>
      </w:r>
      <w:r w:rsidRPr="00FE33BB">
        <w:rPr>
          <w:i/>
          <w:iCs/>
        </w:rPr>
        <w:t>Charte</w:t>
      </w:r>
      <w:r w:rsidRPr="00851F7B">
        <w:t>, par exemple,</w:t>
      </w:r>
      <w:r w:rsidRPr="00FE33BB">
        <w:rPr>
          <w:i/>
          <w:iCs/>
        </w:rPr>
        <w:t xml:space="preserve"> </w:t>
      </w:r>
      <w:r w:rsidRPr="00851F7B">
        <w:t xml:space="preserve">sont </w:t>
      </w:r>
      <w:r>
        <w:t xml:space="preserve">aussi </w:t>
      </w:r>
      <w:r w:rsidRPr="00851F7B">
        <w:t>visées par l’obligation d’aviser les procureurs généraux</w:t>
      </w:r>
      <w:r>
        <w:t xml:space="preserve"> – alors que ce sont de toute évidence des cas où </w:t>
      </w:r>
      <w:r w:rsidRPr="00851F7B">
        <w:t xml:space="preserve">le DPCP </w:t>
      </w:r>
      <w:r>
        <w:t>conserve sa compétence pour piloter les dossiers.</w:t>
      </w:r>
    </w:p>
    <w:p w14:paraId="2F55A810" w14:textId="16D80C0B" w:rsidR="005C67B6" w:rsidRPr="003C2027" w:rsidRDefault="005C67B6" w:rsidP="00837FBA">
      <w:pPr>
        <w:pStyle w:val="Paragraphe"/>
        <w:spacing w:after="0" w:line="240" w:lineRule="auto"/>
        <w:rPr>
          <w:rStyle w:val="subsection"/>
          <w:szCs w:val="24"/>
        </w:rPr>
      </w:pPr>
      <w:r>
        <w:t xml:space="preserve">Bref, suivant </w:t>
      </w:r>
      <w:r w:rsidRPr="00851F7B">
        <w:t xml:space="preserve">la </w:t>
      </w:r>
      <w:r>
        <w:t xml:space="preserve">délégation de pouvoir prévue par </w:t>
      </w:r>
      <w:bookmarkStart w:id="23" w:name="_Hlk222993935"/>
      <w:r>
        <w:t xml:space="preserve">la </w:t>
      </w:r>
      <w:r w:rsidRPr="00851F7B">
        <w:rPr>
          <w:i/>
          <w:iCs/>
        </w:rPr>
        <w:t>L.D.p.c.p.</w:t>
      </w:r>
      <w:r>
        <w:t>,</w:t>
      </w:r>
      <w:r w:rsidRPr="00D023D4">
        <w:t xml:space="preserve"> </w:t>
      </w:r>
      <w:bookmarkEnd w:id="23"/>
      <w:r>
        <w:t xml:space="preserve">et la pratique courante depuis la création du DPCP en 2007, c’est ce dernier qui prend en charge plusieurs </w:t>
      </w:r>
      <w:r w:rsidRPr="00851F7B">
        <w:t>questions constitutionnelles soul</w:t>
      </w:r>
      <w:r>
        <w:t>evées</w:t>
      </w:r>
      <w:r w:rsidRPr="00851F7B">
        <w:t xml:space="preserve"> dans le cadre des </w:t>
      </w:r>
      <w:r>
        <w:t>instances</w:t>
      </w:r>
      <w:r w:rsidRPr="00851F7B">
        <w:t xml:space="preserve"> criminelles</w:t>
      </w:r>
      <w:r>
        <w:t xml:space="preserve">. Quant à la participation du </w:t>
      </w:r>
      <w:r w:rsidRPr="00851F7B">
        <w:t>PGQ</w:t>
      </w:r>
      <w:r>
        <w:t xml:space="preserve">, ce dernier a </w:t>
      </w:r>
      <w:r w:rsidRPr="00851F7B">
        <w:t xml:space="preserve">la faculté de se greffer aux procédures mettant en cause une question visée par les articles 76 à 78 </w:t>
      </w:r>
      <w:r w:rsidRPr="00851F7B">
        <w:rPr>
          <w:i/>
          <w:iCs/>
        </w:rPr>
        <w:t>C.p.c.</w:t>
      </w:r>
      <w:r w:rsidRPr="00851F7B">
        <w:t xml:space="preserve">, </w:t>
      </w:r>
      <w:r>
        <w:t xml:space="preserve">mais </w:t>
      </w:r>
      <w:r w:rsidRPr="00851F7B">
        <w:t>sans que cela lui confère le statut de poursuivant.</w:t>
      </w:r>
      <w:r>
        <w:t xml:space="preserve"> Par ailleurs, le pouvoir d</w:t>
      </w:r>
      <w:r w:rsidRPr="00DD086D">
        <w:t>’intervention</w:t>
      </w:r>
      <w:r>
        <w:t xml:space="preserve"> du PGQ est énoncé à l’article 24 </w:t>
      </w:r>
      <w:r w:rsidRPr="00851F7B">
        <w:rPr>
          <w:i/>
          <w:iCs/>
        </w:rPr>
        <w:t>L.D.p.c.p.</w:t>
      </w:r>
      <w:r>
        <w:t>,</w:t>
      </w:r>
      <w:r w:rsidRPr="00DD086D">
        <w:t xml:space="preserve"> lequel </w:t>
      </w:r>
      <w:r>
        <w:t>prévoit que</w:t>
      </w:r>
      <w:r>
        <w:rPr>
          <w:rFonts w:cs="Arial"/>
          <w:color w:val="212529"/>
          <w:sz w:val="22"/>
          <w:szCs w:val="22"/>
          <w:shd w:val="clear" w:color="auto" w:fill="FFFFFF"/>
        </w:rPr>
        <w:t xml:space="preserve"> </w:t>
      </w:r>
      <w:r>
        <w:rPr>
          <w:rStyle w:val="subsection"/>
          <w:rFonts w:cs="Arial"/>
          <w:color w:val="212529"/>
          <w:szCs w:val="24"/>
          <w:shd w:val="clear" w:color="auto" w:fill="FFFFFF"/>
        </w:rPr>
        <w:t>l</w:t>
      </w:r>
      <w:r w:rsidRPr="00DD086D">
        <w:rPr>
          <w:rStyle w:val="subsection"/>
          <w:rFonts w:cs="Arial"/>
          <w:color w:val="212529"/>
          <w:szCs w:val="24"/>
          <w:shd w:val="clear" w:color="auto" w:fill="FFFFFF"/>
        </w:rPr>
        <w:t xml:space="preserve">orsqu’une poursuite soulève, à son avis, des questions d’intérêt général qui dépassent celles habituellement soulevées dans les poursuites criminelles et pénales, </w:t>
      </w:r>
      <w:r>
        <w:rPr>
          <w:rStyle w:val="subsection"/>
          <w:rFonts w:cs="Arial"/>
          <w:color w:val="212529"/>
          <w:szCs w:val="24"/>
          <w:shd w:val="clear" w:color="auto" w:fill="FFFFFF"/>
        </w:rPr>
        <w:t>« </w:t>
      </w:r>
      <w:r w:rsidRPr="00DD086D">
        <w:rPr>
          <w:rStyle w:val="subsection"/>
          <w:rFonts w:cs="Arial"/>
          <w:color w:val="212529"/>
          <w:szCs w:val="24"/>
          <w:shd w:val="clear" w:color="auto" w:fill="FFFFFF"/>
        </w:rPr>
        <w:t xml:space="preserve">le procureur général peut, après en avoir avisé le directeur, y </w:t>
      </w:r>
      <w:r w:rsidRPr="00DD086D">
        <w:rPr>
          <w:rStyle w:val="subsection"/>
          <w:rFonts w:cs="Arial"/>
          <w:color w:val="212529"/>
          <w:szCs w:val="24"/>
          <w:u w:val="single"/>
          <w:shd w:val="clear" w:color="auto" w:fill="FFFFFF"/>
        </w:rPr>
        <w:t>intervenir</w:t>
      </w:r>
      <w:r w:rsidRPr="00DD086D">
        <w:rPr>
          <w:rStyle w:val="subsection"/>
          <w:rFonts w:cs="Arial"/>
          <w:color w:val="212529"/>
          <w:szCs w:val="24"/>
          <w:shd w:val="clear" w:color="auto" w:fill="FFFFFF"/>
        </w:rPr>
        <w:t>, en première instance ou en appel, sans autre formalité</w:t>
      </w:r>
      <w:r>
        <w:rPr>
          <w:rStyle w:val="subsection"/>
          <w:rFonts w:cs="Arial"/>
          <w:color w:val="212529"/>
          <w:szCs w:val="24"/>
          <w:shd w:val="clear" w:color="auto" w:fill="FFFFFF"/>
        </w:rPr>
        <w:t> »</w:t>
      </w:r>
      <w:r w:rsidR="006B0837">
        <w:rPr>
          <w:rStyle w:val="subsection"/>
          <w:rFonts w:cs="Arial"/>
          <w:color w:val="212529"/>
          <w:szCs w:val="24"/>
          <w:shd w:val="clear" w:color="auto" w:fill="FFFFFF"/>
        </w:rPr>
        <w:t xml:space="preserve">. </w:t>
      </w:r>
      <w:r w:rsidR="006D0A55">
        <w:rPr>
          <w:rStyle w:val="subsection"/>
          <w:rFonts w:cs="Arial"/>
          <w:color w:val="212529"/>
          <w:szCs w:val="24"/>
          <w:shd w:val="clear" w:color="auto" w:fill="FFFFFF"/>
        </w:rPr>
        <w:t>[Soulignement ajouté].</w:t>
      </w:r>
    </w:p>
    <w:p w14:paraId="78EB92FF" w14:textId="77777777" w:rsidR="005C67B6" w:rsidRPr="00BE483C" w:rsidRDefault="005C67B6" w:rsidP="005C67B6">
      <w:pPr>
        <w:pStyle w:val="Paragraphe"/>
        <w:spacing w:line="240" w:lineRule="auto"/>
      </w:pPr>
      <w:r w:rsidRPr="00BE483C">
        <w:t xml:space="preserve">Ainsi, en conformité avec la </w:t>
      </w:r>
      <w:r w:rsidRPr="00C87436">
        <w:rPr>
          <w:i/>
          <w:iCs/>
        </w:rPr>
        <w:t>L.D.p.c.p</w:t>
      </w:r>
      <w:r w:rsidRPr="00BE483C">
        <w:t>., le PGQ peut intervenir sur des questions constitutionnelles ou d’intérêt public, en première instance comme en appel</w:t>
      </w:r>
      <w:bookmarkStart w:id="24" w:name="_Hlk227421501"/>
      <w:r>
        <w:t>.</w:t>
      </w:r>
      <w:r w:rsidRPr="00C87436">
        <w:t xml:space="preserve"> </w:t>
      </w:r>
      <w:r>
        <w:t>C</w:t>
      </w:r>
      <w:r w:rsidRPr="00BE483C">
        <w:t xml:space="preserve">e faisant, </w:t>
      </w:r>
      <w:r>
        <w:t>le PGQ ne</w:t>
      </w:r>
      <w:r w:rsidRPr="00BE483C">
        <w:t xml:space="preserve"> prend pas la place du poursuivant en première instance et n’acquiert pas le statut d’appelant en appel</w:t>
      </w:r>
      <w:r>
        <w:t>. Une telle intervention n’</w:t>
      </w:r>
      <w:r w:rsidRPr="00BE483C">
        <w:t>empiète</w:t>
      </w:r>
      <w:r>
        <w:t xml:space="preserve"> pas</w:t>
      </w:r>
      <w:r w:rsidRPr="00BE483C">
        <w:t xml:space="preserve"> sur la fonction </w:t>
      </w:r>
      <w:r>
        <w:t xml:space="preserve">principale </w:t>
      </w:r>
      <w:r w:rsidRPr="00BE483C">
        <w:t xml:space="preserve">du DPCP, </w:t>
      </w:r>
      <w:r>
        <w:t>soit</w:t>
      </w:r>
      <w:r w:rsidRPr="00BE483C">
        <w:t xml:space="preserve"> « la responsabilité des poursuites criminelles et pénales au nom</w:t>
      </w:r>
      <w:bookmarkEnd w:id="24"/>
      <w:r w:rsidRPr="00BE483C">
        <w:t xml:space="preserve"> de Sa Majesté »</w:t>
      </w:r>
      <w:r>
        <w:rPr>
          <w:rStyle w:val="Appelnotedebasdep"/>
        </w:rPr>
        <w:footnoteReference w:id="82"/>
      </w:r>
      <w:r>
        <w:t>.</w:t>
      </w:r>
      <w:r w:rsidRPr="00BE483C">
        <w:t xml:space="preserve"> </w:t>
      </w:r>
    </w:p>
    <w:p w14:paraId="007326EB" w14:textId="77777777" w:rsidR="005C67B6" w:rsidRDefault="005C67B6" w:rsidP="005C67B6">
      <w:pPr>
        <w:pStyle w:val="Paragraphe"/>
        <w:spacing w:line="240" w:lineRule="auto"/>
      </w:pPr>
      <w:r w:rsidRPr="00BE483C">
        <w:t xml:space="preserve">Dans les cas où le PGQ souhaite </w:t>
      </w:r>
      <w:r>
        <w:t xml:space="preserve">plutôt </w:t>
      </w:r>
      <w:r w:rsidRPr="00BE483C">
        <w:t xml:space="preserve">prendre en charge l’affaire ou donner des instructions au DPCP, il devra </w:t>
      </w:r>
      <w:r>
        <w:t>suivre</w:t>
      </w:r>
      <w:r w:rsidRPr="00BE483C">
        <w:t xml:space="preserve"> la procédure prévue à l’article 23 </w:t>
      </w:r>
      <w:r w:rsidRPr="008B1922">
        <w:rPr>
          <w:i/>
          <w:iCs/>
        </w:rPr>
        <w:t>L.D.p.c.p</w:t>
      </w:r>
      <w:r w:rsidRPr="00BE483C">
        <w:t xml:space="preserve">. </w:t>
      </w:r>
      <w:r w:rsidRPr="00E14258">
        <w:t xml:space="preserve">Par ailleurs, </w:t>
      </w:r>
      <w:r>
        <w:t xml:space="preserve">selon le principe de base de l’interprétation des lois, le législateur ne parle pas pour rien dire, or, </w:t>
      </w:r>
      <w:r w:rsidRPr="00E14258">
        <w:t>l’argument en faveur d’un droit d’appel autonome du PGQ rend</w:t>
      </w:r>
      <w:r>
        <w:t>rait</w:t>
      </w:r>
      <w:r w:rsidRPr="00E14258">
        <w:t xml:space="preserve"> </w:t>
      </w:r>
      <w:r>
        <w:t xml:space="preserve">superfétatoire </w:t>
      </w:r>
      <w:r w:rsidRPr="006E1215">
        <w:t>la procédure prévue à cet article</w:t>
      </w:r>
      <w:r>
        <w:t>.</w:t>
      </w:r>
      <w:r w:rsidRPr="006E1215">
        <w:t xml:space="preserve"> </w:t>
      </w:r>
    </w:p>
    <w:p w14:paraId="5CA8B699" w14:textId="77777777" w:rsidR="005C67B6" w:rsidRDefault="005C67B6" w:rsidP="005C67B6">
      <w:pPr>
        <w:pStyle w:val="Paragraphe"/>
        <w:spacing w:line="240" w:lineRule="auto"/>
      </w:pPr>
      <w:r>
        <w:t xml:space="preserve">J’en conclus que </w:t>
      </w:r>
      <w:r w:rsidRPr="00851F7B">
        <w:t xml:space="preserve">les droits d’appel </w:t>
      </w:r>
      <w:r>
        <w:t>conférés</w:t>
      </w:r>
      <w:r w:rsidRPr="00851F7B">
        <w:t xml:space="preserve"> au</w:t>
      </w:r>
      <w:r>
        <w:t xml:space="preserve"> </w:t>
      </w:r>
      <w:r w:rsidRPr="00851F7B">
        <w:t>procureur général</w:t>
      </w:r>
      <w:r>
        <w:t xml:space="preserve"> au paragraphe 676(1)</w:t>
      </w:r>
      <w:r w:rsidRPr="00851F7B">
        <w:t xml:space="preserve"> </w:t>
      </w:r>
      <w:r w:rsidRPr="00851F7B">
        <w:rPr>
          <w:i/>
          <w:iCs/>
        </w:rPr>
        <w:t>C.cr.</w:t>
      </w:r>
      <w:r w:rsidRPr="00851F7B">
        <w:t xml:space="preserve"> ont été cédés au DPCP, son « substitut légitime ». </w:t>
      </w:r>
      <w:r>
        <w:t xml:space="preserve">Lorsque le PGQ souhaite néanmoins agir en tant qu’appelant, plutôt que se limiter à intervenir en appel comme mis en cause, </w:t>
      </w:r>
      <w:r w:rsidRPr="00851F7B">
        <w:t>il</w:t>
      </w:r>
      <w:r>
        <w:t xml:space="preserve"> peut </w:t>
      </w:r>
      <w:r w:rsidRPr="00851F7B">
        <w:t xml:space="preserve">prendre en charge l’affaire, conformément à </w:t>
      </w:r>
      <w:bookmarkStart w:id="25" w:name="_Hlk223179634"/>
      <w:r w:rsidRPr="00851F7B">
        <w:t xml:space="preserve">l’article 23 </w:t>
      </w:r>
      <w:r w:rsidRPr="00851F7B">
        <w:rPr>
          <w:i/>
          <w:iCs/>
        </w:rPr>
        <w:t>L.D.p.c.p.</w:t>
      </w:r>
      <w:r>
        <w:rPr>
          <w:i/>
          <w:iCs/>
        </w:rPr>
        <w:t xml:space="preserve"> </w:t>
      </w:r>
      <w:r w:rsidRPr="00851F7B">
        <w:t xml:space="preserve"> </w:t>
      </w:r>
      <w:bookmarkEnd w:id="25"/>
    </w:p>
    <w:p w14:paraId="4F71F262" w14:textId="77777777" w:rsidR="005C67B6" w:rsidRPr="006B59E6" w:rsidRDefault="005C67B6" w:rsidP="005C67B6">
      <w:pPr>
        <w:pStyle w:val="Paragraphe"/>
        <w:numPr>
          <w:ilvl w:val="0"/>
          <w:numId w:val="0"/>
        </w:numPr>
        <w:spacing w:line="240" w:lineRule="auto"/>
        <w:rPr>
          <w:u w:val="single"/>
        </w:rPr>
      </w:pPr>
      <w:r>
        <w:t>2</w:t>
      </w:r>
      <w:r w:rsidRPr="006D0A55">
        <w:t xml:space="preserve">. </w:t>
      </w:r>
      <w:r w:rsidRPr="006B59E6">
        <w:rPr>
          <w:u w:val="single"/>
        </w:rPr>
        <w:t xml:space="preserve">Le </w:t>
      </w:r>
      <w:r w:rsidRPr="006B59E6">
        <w:rPr>
          <w:i/>
          <w:iCs/>
          <w:u w:val="single"/>
        </w:rPr>
        <w:t>Code de procédure civile</w:t>
      </w:r>
      <w:r w:rsidRPr="006B59E6">
        <w:rPr>
          <w:u w:val="single"/>
        </w:rPr>
        <w:t xml:space="preserve"> confère-t-il au PGQ un droit d’appel devant la Cour d’appel sur les questions constitutionnelles soulevées dans le cadre d’une procédure criminelle</w:t>
      </w:r>
      <w:r>
        <w:rPr>
          <w:u w:val="single"/>
        </w:rPr>
        <w:t>?</w:t>
      </w:r>
    </w:p>
    <w:p w14:paraId="616C86FF" w14:textId="77777777" w:rsidR="005C67B6" w:rsidRPr="00851F7B" w:rsidRDefault="005C67B6" w:rsidP="005C67B6">
      <w:pPr>
        <w:pStyle w:val="Paragraphe"/>
        <w:spacing w:line="240" w:lineRule="auto"/>
      </w:pPr>
      <w:r w:rsidRPr="00851F7B">
        <w:t xml:space="preserve">En matière civile, « [l]e droit d’appel appartient à toute partie au jugement de première </w:t>
      </w:r>
      <w:r w:rsidRPr="00B74ABD">
        <w:t>instance</w:t>
      </w:r>
      <w:r w:rsidRPr="00851F7B">
        <w:t xml:space="preserve"> qui y a intérêt, si elle n’y a pas renoncé » (art. 351 </w:t>
      </w:r>
      <w:r w:rsidRPr="00851F7B">
        <w:rPr>
          <w:i/>
          <w:iCs/>
        </w:rPr>
        <w:t>C</w:t>
      </w:r>
      <w:r>
        <w:rPr>
          <w:i/>
          <w:iCs/>
        </w:rPr>
        <w:t>.p</w:t>
      </w:r>
      <w:r w:rsidRPr="00851F7B">
        <w:rPr>
          <w:i/>
          <w:iCs/>
        </w:rPr>
        <w:t>.</w:t>
      </w:r>
      <w:r>
        <w:rPr>
          <w:i/>
          <w:iCs/>
        </w:rPr>
        <w:t>c.</w:t>
      </w:r>
      <w:r w:rsidRPr="00851F7B">
        <w:t xml:space="preserve">). </w:t>
      </w:r>
      <w:r>
        <w:t>Par conséquent, l</w:t>
      </w:r>
      <w:r w:rsidRPr="00851F7B">
        <w:t xml:space="preserve">e PGQ </w:t>
      </w:r>
      <w:r>
        <w:t xml:space="preserve">soutient, de façon subsidiaire, que puisqu’il est </w:t>
      </w:r>
      <w:r w:rsidRPr="00851F7B">
        <w:t>partie au jugement entrepris en l’espèce</w:t>
      </w:r>
      <w:r>
        <w:t xml:space="preserve"> </w:t>
      </w:r>
      <w:r w:rsidRPr="00B1499E">
        <w:t>–</w:t>
      </w:r>
      <w:r>
        <w:t xml:space="preserve"> </w:t>
      </w:r>
      <w:r w:rsidRPr="00B1499E">
        <w:t>même</w:t>
      </w:r>
      <w:r>
        <w:t xml:space="preserve"> s’il </w:t>
      </w:r>
      <w:r w:rsidRPr="00851F7B">
        <w:t>a délégué au DPCP la faculté de se prévaloir du droit d’appel prévu à l’a</w:t>
      </w:r>
      <w:r>
        <w:t>linéa</w:t>
      </w:r>
      <w:r w:rsidRPr="00851F7B">
        <w:t xml:space="preserve"> 676(</w:t>
      </w:r>
      <w:r>
        <w:t>1</w:t>
      </w:r>
      <w:r w:rsidRPr="00851F7B">
        <w:t xml:space="preserve">)d) </w:t>
      </w:r>
      <w:r w:rsidRPr="00B1499E">
        <w:rPr>
          <w:i/>
          <w:iCs/>
        </w:rPr>
        <w:t>C.cr.</w:t>
      </w:r>
      <w:r w:rsidRPr="00B1499E">
        <w:t xml:space="preserve"> –</w:t>
      </w:r>
      <w:r>
        <w:t xml:space="preserve"> </w:t>
      </w:r>
      <w:r w:rsidRPr="00851F7B">
        <w:t>les règles de procédure civile</w:t>
      </w:r>
      <w:r>
        <w:t xml:space="preserve"> </w:t>
      </w:r>
      <w:r w:rsidRPr="00851F7B">
        <w:t>lui permet</w:t>
      </w:r>
      <w:r>
        <w:t>t</w:t>
      </w:r>
      <w:r w:rsidRPr="00851F7B">
        <w:t xml:space="preserve">ent </w:t>
      </w:r>
      <w:r>
        <w:t xml:space="preserve">de </w:t>
      </w:r>
      <w:r w:rsidRPr="00851F7B">
        <w:t>se pourvoir en appel</w:t>
      </w:r>
      <w:r>
        <w:t xml:space="preserve"> </w:t>
      </w:r>
      <w:r w:rsidRPr="00851F7B">
        <w:t xml:space="preserve">suivant l’article 30 </w:t>
      </w:r>
      <w:r w:rsidRPr="00851F7B">
        <w:rPr>
          <w:i/>
          <w:iCs/>
        </w:rPr>
        <w:t>C.p.c.</w:t>
      </w:r>
      <w:r w:rsidRPr="00FD27FA">
        <w:rPr>
          <w:color w:val="FF0000"/>
        </w:rPr>
        <w:t xml:space="preserve"> </w:t>
      </w:r>
      <w:r w:rsidRPr="00437315">
        <w:t>(lequel consacre un droit d’appel contre les jugements mettant fin à l’instance)</w:t>
      </w:r>
      <w:r>
        <w:rPr>
          <w:i/>
          <w:iCs/>
        </w:rPr>
        <w:t xml:space="preserve"> </w:t>
      </w:r>
      <w:r>
        <w:t>ou encore</w:t>
      </w:r>
      <w:r w:rsidRPr="00851F7B">
        <w:t xml:space="preserve"> suivant l’article 79 </w:t>
      </w:r>
      <w:r w:rsidRPr="00851F7B">
        <w:rPr>
          <w:i/>
          <w:iCs/>
        </w:rPr>
        <w:t>C.p.c.</w:t>
      </w:r>
      <w:r>
        <w:rPr>
          <w:i/>
          <w:iCs/>
        </w:rPr>
        <w:t>,</w:t>
      </w:r>
      <w:r w:rsidRPr="00851F7B">
        <w:t xml:space="preserve"> qui lui permet « d’office,</w:t>
      </w:r>
      <w:r>
        <w:t xml:space="preserve"> [de]</w:t>
      </w:r>
      <w:r w:rsidRPr="00851F7B">
        <w:t xml:space="preserve"> se pourvoir en appel de tout jugement portant sur une question d’intérêt public ».</w:t>
      </w:r>
    </w:p>
    <w:p w14:paraId="1B83C5F9" w14:textId="77777777" w:rsidR="005C67B6" w:rsidRDefault="005C67B6" w:rsidP="005C67B6">
      <w:pPr>
        <w:pStyle w:val="Paragraphe"/>
        <w:spacing w:line="240" w:lineRule="auto"/>
      </w:pPr>
      <w:r>
        <w:t>Cet argument se heurte à un obstacle dirimant : s’agissant en l’espèce d’un appel en matière criminelle</w:t>
      </w:r>
      <w:r w:rsidRPr="002E17E2">
        <w:t>,</w:t>
      </w:r>
      <w:r>
        <w:t xml:space="preserve"> de compétence fédérale, ce dernier n’est pas gouverné par le </w:t>
      </w:r>
      <w:r w:rsidRPr="00BF3CE9">
        <w:rPr>
          <w:i/>
          <w:iCs/>
        </w:rPr>
        <w:t>C</w:t>
      </w:r>
      <w:r>
        <w:rPr>
          <w:i/>
          <w:iCs/>
        </w:rPr>
        <w:t>.</w:t>
      </w:r>
      <w:r w:rsidRPr="00BF3CE9">
        <w:rPr>
          <w:i/>
          <w:iCs/>
        </w:rPr>
        <w:t>p</w:t>
      </w:r>
      <w:r>
        <w:rPr>
          <w:i/>
          <w:iCs/>
        </w:rPr>
        <w:t>.</w:t>
      </w:r>
      <w:r w:rsidRPr="00BF3CE9">
        <w:rPr>
          <w:i/>
          <w:iCs/>
        </w:rPr>
        <w:t>c</w:t>
      </w:r>
      <w:r>
        <w:rPr>
          <w:i/>
          <w:iCs/>
        </w:rPr>
        <w:t xml:space="preserve">., </w:t>
      </w:r>
      <w:r>
        <w:t xml:space="preserve">mais plutôt par le </w:t>
      </w:r>
      <w:r w:rsidRPr="002B5289">
        <w:rPr>
          <w:i/>
          <w:iCs/>
        </w:rPr>
        <w:t>C</w:t>
      </w:r>
      <w:r>
        <w:rPr>
          <w:i/>
          <w:iCs/>
        </w:rPr>
        <w:t>.</w:t>
      </w:r>
      <w:r w:rsidRPr="002B5289">
        <w:rPr>
          <w:i/>
          <w:iCs/>
        </w:rPr>
        <w:t>c</w:t>
      </w:r>
      <w:r>
        <w:rPr>
          <w:i/>
          <w:iCs/>
        </w:rPr>
        <w:t>r</w:t>
      </w:r>
      <w:r>
        <w:t xml:space="preserve">., lequel dispose, à l’article </w:t>
      </w:r>
      <w:r w:rsidRPr="002E17E2">
        <w:t>674</w:t>
      </w:r>
      <w:r>
        <w:t>,</w:t>
      </w:r>
      <w:r w:rsidRPr="002E17E2">
        <w:t xml:space="preserve"> </w:t>
      </w:r>
      <w:r>
        <w:t>que «</w:t>
      </w:r>
      <w:r w:rsidRPr="002E17E2">
        <w:t xml:space="preserve"> </w:t>
      </w:r>
      <w:r>
        <w:t>N</w:t>
      </w:r>
      <w:r w:rsidRPr="002E17E2">
        <w:t>ulle procédure autre que celles qui sont autorisées par la présente partie et la partie XXVI ne peut être intentée par voie d</w:t>
      </w:r>
      <w:r>
        <w:t>’</w:t>
      </w:r>
      <w:r w:rsidRPr="002E17E2">
        <w:t>appel dans des procédures concernant des actes criminels</w:t>
      </w:r>
      <w:r>
        <w:t> </w:t>
      </w:r>
      <w:r w:rsidRPr="002E17E2">
        <w:t>»</w:t>
      </w:r>
      <w:r>
        <w:t>.</w:t>
      </w:r>
    </w:p>
    <w:p w14:paraId="294E9310" w14:textId="77777777" w:rsidR="005C67B6" w:rsidRPr="00085882" w:rsidDel="001C56A6" w:rsidRDefault="005C67B6" w:rsidP="005C67B6">
      <w:pPr>
        <w:pStyle w:val="Paragraphe"/>
        <w:spacing w:line="240" w:lineRule="auto"/>
        <w:rPr>
          <w:bCs/>
        </w:rPr>
      </w:pPr>
      <w:r w:rsidDel="001C56A6">
        <w:t xml:space="preserve">Le PGQ soutient toutefois que </w:t>
      </w:r>
      <w:r w:rsidRPr="00D13804" w:rsidDel="001C56A6">
        <w:t xml:space="preserve">lorsqu’une règle de droit est contestée </w:t>
      </w:r>
      <w:r>
        <w:t xml:space="preserve">pour des motifs constitutionnels </w:t>
      </w:r>
      <w:r w:rsidRPr="00D13804" w:rsidDel="001C56A6">
        <w:t xml:space="preserve">dans le </w:t>
      </w:r>
      <w:r w:rsidRPr="00B74ABD" w:rsidDel="001C56A6">
        <w:rPr>
          <w:bCs/>
          <w:i/>
          <w:iCs/>
        </w:rPr>
        <w:t>cadre</w:t>
      </w:r>
      <w:r w:rsidRPr="00D13804" w:rsidDel="001C56A6">
        <w:t xml:space="preserve"> d’une procédure criminelle, </w:t>
      </w:r>
      <w:r w:rsidDel="001C56A6">
        <w:t>cela soulève</w:t>
      </w:r>
      <w:r w:rsidRPr="00D13804" w:rsidDel="001C56A6">
        <w:t xml:space="preserve"> deux types de procédures distinctes, soit celle relative à la question constitutionnelle et celle relative à la culpabilité et </w:t>
      </w:r>
      <w:r w:rsidDel="001C56A6">
        <w:t xml:space="preserve">à </w:t>
      </w:r>
      <w:r w:rsidRPr="00D13804" w:rsidDel="001C56A6">
        <w:t>l’innocence de l’accusé</w:t>
      </w:r>
      <w:r w:rsidDel="001C56A6">
        <w:t>.</w:t>
      </w:r>
      <w:r w:rsidRPr="00D13804" w:rsidDel="001C56A6">
        <w:t xml:space="preserve"> </w:t>
      </w:r>
      <w:r w:rsidDel="001C56A6">
        <w:t xml:space="preserve">Ainsi, plaide-t-il, la procédure distincte en matière constitutionnelle obéit à ses propres règles et, s’agissant d’une instance de droit public au Québec, le </w:t>
      </w:r>
      <w:r w:rsidRPr="00085882" w:rsidDel="001C56A6">
        <w:rPr>
          <w:i/>
          <w:iCs/>
        </w:rPr>
        <w:t>C.p.c.</w:t>
      </w:r>
      <w:r w:rsidDel="001C56A6">
        <w:t xml:space="preserve"> y trouve son application. </w:t>
      </w:r>
    </w:p>
    <w:p w14:paraId="466C89BB" w14:textId="77777777" w:rsidR="005C67B6" w:rsidRDefault="005C67B6" w:rsidP="005C67B6">
      <w:pPr>
        <w:pStyle w:val="Paragraphe"/>
        <w:spacing w:line="240" w:lineRule="auto"/>
      </w:pPr>
      <w:r>
        <w:t xml:space="preserve">Le PGQ renvoie à des arrêts dans lesquels une telle approche, qualifiée de « double procédure », est adoptée, ce qui permet d’appliquer des règles de procédure civile à </w:t>
      </w:r>
      <w:r w:rsidRPr="006E1215">
        <w:rPr>
          <w:bCs/>
        </w:rPr>
        <w:t>une</w:t>
      </w:r>
      <w:r>
        <w:t xml:space="preserve"> question de nature civile en lien avec la constitutionnalité soulevée dans une instance criminelle</w:t>
      </w:r>
      <w:r>
        <w:rPr>
          <w:rStyle w:val="Appelnotedebasdep"/>
        </w:rPr>
        <w:footnoteReference w:id="83"/>
      </w:r>
      <w:r>
        <w:t xml:space="preserve">. </w:t>
      </w:r>
    </w:p>
    <w:p w14:paraId="4CEC9842" w14:textId="77777777" w:rsidR="005C67B6" w:rsidRPr="00B0615F" w:rsidRDefault="005C67B6" w:rsidP="005C67B6">
      <w:pPr>
        <w:pStyle w:val="Paragraphe"/>
        <w:spacing w:line="240" w:lineRule="auto"/>
      </w:pPr>
      <w:r>
        <w:t xml:space="preserve">La Cour suprême a établi, dans l’arrêt </w:t>
      </w:r>
      <w:r w:rsidRPr="0078768E">
        <w:rPr>
          <w:i/>
          <w:iCs/>
        </w:rPr>
        <w:t>Laba</w:t>
      </w:r>
      <w:r w:rsidRPr="008B1922">
        <w:rPr>
          <w:rStyle w:val="Appelnotedebasdep"/>
        </w:rPr>
        <w:footnoteReference w:id="84"/>
      </w:r>
      <w:r>
        <w:t xml:space="preserve">, ce principe des « doubles </w:t>
      </w:r>
      <w:r w:rsidRPr="00A23DE8">
        <w:rPr>
          <w:bCs/>
        </w:rPr>
        <w:t>procédures</w:t>
      </w:r>
      <w:r>
        <w:t xml:space="preserve"> » afin de s’assurer qu’une question constitutionnelle d’intérêt public puisse être amenée devant elle suivant l’article 40 de la </w:t>
      </w:r>
      <w:r>
        <w:rPr>
          <w:i/>
          <w:iCs/>
        </w:rPr>
        <w:t xml:space="preserve">Loi sur la Cour suprême </w:t>
      </w:r>
      <w:r>
        <w:t xml:space="preserve">(« </w:t>
      </w:r>
      <w:r w:rsidRPr="000F191E">
        <w:rPr>
          <w:i/>
          <w:iCs/>
        </w:rPr>
        <w:t>LCS</w:t>
      </w:r>
      <w:r>
        <w:rPr>
          <w:i/>
          <w:iCs/>
        </w:rPr>
        <w:t xml:space="preserve"> </w:t>
      </w:r>
      <w:r>
        <w:t>»)</w:t>
      </w:r>
      <w:r>
        <w:rPr>
          <w:rStyle w:val="Appelnotedebasdep"/>
        </w:rPr>
        <w:footnoteReference w:id="85"/>
      </w:r>
      <w:r>
        <w:t>,  bien que la question soit soulevée dans une instance criminelle</w:t>
      </w:r>
      <w:r w:rsidRPr="00B0615F">
        <w:rPr>
          <w:rStyle w:val="Appelnotedebasdep"/>
        </w:rPr>
        <w:footnoteReference w:id="86"/>
      </w:r>
      <w:r w:rsidRPr="00B0615F">
        <w:t>. C</w:t>
      </w:r>
      <w:r w:rsidRPr="000D59DF">
        <w:t>ette approche évite de faire « dépendre la constitutionnalité d'une règle de droit de la résolution d'une question complètement étrangère à la constitutionnalité, c'est</w:t>
      </w:r>
      <w:r w:rsidRPr="000D59DF">
        <w:noBreakHyphen/>
        <w:t>à</w:t>
      </w:r>
      <w:r w:rsidRPr="000D59DF">
        <w:noBreakHyphen/>
        <w:t>dire la culpabilité ou l'innocence de l'accusé, et de sa décision d'en appeler d'une déclaration de culpabilité »</w:t>
      </w:r>
      <w:r w:rsidRPr="000D59DF">
        <w:rPr>
          <w:rStyle w:val="Appelnotedebasdep"/>
        </w:rPr>
        <w:footnoteReference w:id="87"/>
      </w:r>
      <w:r w:rsidRPr="000D59DF">
        <w:t>.</w:t>
      </w:r>
      <w:r w:rsidRPr="00B0615F">
        <w:rPr>
          <w:rFonts w:ascii="CG Times" w:hAnsi="CG Times"/>
          <w:spacing w:val="-3"/>
        </w:rPr>
        <w:t xml:space="preserve"> </w:t>
      </w:r>
    </w:p>
    <w:p w14:paraId="2B9A0733" w14:textId="77777777" w:rsidR="005C67B6" w:rsidRDefault="005C67B6" w:rsidP="005C67B6">
      <w:pPr>
        <w:pStyle w:val="Paragraphe"/>
        <w:spacing w:line="240" w:lineRule="auto"/>
      </w:pPr>
      <w:r>
        <w:t xml:space="preserve">Je suis d’avis que le </w:t>
      </w:r>
      <w:r w:rsidRPr="00E47424">
        <w:rPr>
          <w:bCs/>
        </w:rPr>
        <w:t>recours</w:t>
      </w:r>
      <w:r>
        <w:t xml:space="preserve"> à cette analyse de « double procédure » ne s’applique pas en l’espèce pour deux raisons.</w:t>
      </w:r>
    </w:p>
    <w:p w14:paraId="4F130698" w14:textId="77777777" w:rsidR="005C67B6" w:rsidRPr="00851F7B" w:rsidRDefault="005C67B6" w:rsidP="005C67B6">
      <w:pPr>
        <w:pStyle w:val="Paragraphe"/>
        <w:spacing w:line="240" w:lineRule="auto"/>
      </w:pPr>
      <w:r>
        <w:t xml:space="preserve"> Premièrement, la question que le </w:t>
      </w:r>
      <w:r w:rsidRPr="00851F7B">
        <w:t xml:space="preserve">PGQ </w:t>
      </w:r>
      <w:r>
        <w:t xml:space="preserve">veut </w:t>
      </w:r>
      <w:r w:rsidRPr="00851F7B">
        <w:t>porte</w:t>
      </w:r>
      <w:r>
        <w:t>r</w:t>
      </w:r>
      <w:r w:rsidRPr="00851F7B">
        <w:t xml:space="preserve"> en appel </w:t>
      </w:r>
      <w:r>
        <w:t xml:space="preserve">concerne </w:t>
      </w:r>
      <w:r w:rsidRPr="00851F7B">
        <w:t xml:space="preserve">la déclaration </w:t>
      </w:r>
      <w:r w:rsidRPr="00E47424">
        <w:rPr>
          <w:bCs/>
        </w:rPr>
        <w:t>d’inopérabilité</w:t>
      </w:r>
      <w:r w:rsidRPr="00851F7B">
        <w:t xml:space="preserve"> d’une peine minimale obligatoire à l’égard de l’intimée. </w:t>
      </w:r>
      <w:r>
        <w:t>La</w:t>
      </w:r>
      <w:r w:rsidRPr="00851F7B">
        <w:t xml:space="preserve"> question constitutionnelle est étroitement liée à la peine </w:t>
      </w:r>
      <w:r>
        <w:t xml:space="preserve">infligée, voire </w:t>
      </w:r>
      <w:r w:rsidRPr="00851F7B">
        <w:t xml:space="preserve">pratiquement indissociable de </w:t>
      </w:r>
      <w:r>
        <w:t xml:space="preserve">celle-ci. En effet, </w:t>
      </w:r>
      <w:r w:rsidRPr="00851F7B">
        <w:t>la juge a exercé son pouvoir de ne pas appliquer la peine minimale, estim</w:t>
      </w:r>
      <w:r>
        <w:t>ant</w:t>
      </w:r>
      <w:r w:rsidRPr="00851F7B">
        <w:t xml:space="preserve"> </w:t>
      </w:r>
      <w:r>
        <w:t>que cette dernière</w:t>
      </w:r>
      <w:r w:rsidRPr="00851F7B">
        <w:t xml:space="preserve"> serait exagérément disproportionnée par rapport à la peine méritée. Cette conclusion est intrinsèquement liée au processus de détermination de la peine, un processus relevant du droit criminel</w:t>
      </w:r>
      <w:r>
        <w:t xml:space="preserve">. Il ne s’agit donc pas d’une procédure ou d’une instance distincte. </w:t>
      </w:r>
    </w:p>
    <w:p w14:paraId="27F0D19B" w14:textId="77777777" w:rsidR="005C67B6" w:rsidRPr="00851F7B" w:rsidRDefault="005C67B6" w:rsidP="005C67B6">
      <w:pPr>
        <w:pStyle w:val="Paragraphe"/>
        <w:spacing w:line="240" w:lineRule="auto"/>
      </w:pPr>
      <w:r w:rsidRPr="00851F7B">
        <w:t>Dans</w:t>
      </w:r>
      <w:r>
        <w:t xml:space="preserve"> l’arrêt</w:t>
      </w:r>
      <w:r w:rsidRPr="00851F7B">
        <w:t xml:space="preserve"> </w:t>
      </w:r>
      <w:r w:rsidRPr="00851F7B">
        <w:rPr>
          <w:i/>
          <w:iCs/>
        </w:rPr>
        <w:t>Kourtessis</w:t>
      </w:r>
      <w:r w:rsidRPr="00851F7B">
        <w:t>, le juge La</w:t>
      </w:r>
      <w:r>
        <w:t xml:space="preserve"> F</w:t>
      </w:r>
      <w:r w:rsidRPr="00851F7B">
        <w:t xml:space="preserve">orest mettait en garde contre le recours inutile aux </w:t>
      </w:r>
      <w:r w:rsidRPr="00E47424">
        <w:rPr>
          <w:bCs/>
        </w:rPr>
        <w:t>règles</w:t>
      </w:r>
      <w:r w:rsidRPr="00851F7B">
        <w:t xml:space="preserve"> de procédure civile en matière criminelle :</w:t>
      </w:r>
    </w:p>
    <w:p w14:paraId="5CA5FFB9" w14:textId="77777777" w:rsidR="005C67B6" w:rsidRPr="00851F7B" w:rsidRDefault="005C67B6" w:rsidP="005C67B6">
      <w:pPr>
        <w:pStyle w:val="Paragraphe"/>
        <w:numPr>
          <w:ilvl w:val="0"/>
          <w:numId w:val="0"/>
        </w:numPr>
        <w:spacing w:line="240" w:lineRule="auto"/>
        <w:ind w:left="720" w:right="726"/>
        <w:rPr>
          <w:sz w:val="22"/>
          <w:szCs w:val="22"/>
        </w:rPr>
      </w:pPr>
      <w:r w:rsidRPr="00851F7B">
        <w:rPr>
          <w:sz w:val="22"/>
          <w:szCs w:val="22"/>
        </w:rPr>
        <w:t>Le mélange de procédure civile provinciale et de procédure criminelle pourrait, je le crains, engendrer un méli</w:t>
      </w:r>
      <w:r w:rsidRPr="00851F7B">
        <w:rPr>
          <w:sz w:val="22"/>
          <w:szCs w:val="22"/>
        </w:rPr>
        <w:noBreakHyphen/>
        <w:t>mélo imprévisible s</w:t>
      </w:r>
      <w:r>
        <w:rPr>
          <w:sz w:val="22"/>
          <w:szCs w:val="22"/>
        </w:rPr>
        <w:t>’</w:t>
      </w:r>
      <w:r w:rsidRPr="00851F7B">
        <w:rPr>
          <w:sz w:val="22"/>
          <w:szCs w:val="22"/>
        </w:rPr>
        <w:t>il fallait constamment, en appliquant le droit fédéral en matière de procédure, examiner la procédure adoptée par les provinces (qui peut différer d</w:t>
      </w:r>
      <w:r>
        <w:rPr>
          <w:sz w:val="22"/>
          <w:szCs w:val="22"/>
        </w:rPr>
        <w:t>’</w:t>
      </w:r>
      <w:r w:rsidRPr="00851F7B">
        <w:rPr>
          <w:sz w:val="22"/>
          <w:szCs w:val="22"/>
        </w:rPr>
        <w:t>une province à l</w:t>
      </w:r>
      <w:r>
        <w:rPr>
          <w:sz w:val="22"/>
          <w:szCs w:val="22"/>
        </w:rPr>
        <w:t>’</w:t>
      </w:r>
      <w:r w:rsidRPr="00851F7B">
        <w:rPr>
          <w:sz w:val="22"/>
          <w:szCs w:val="22"/>
        </w:rPr>
        <w:t>autre) pour voir si un juge ou l</w:t>
      </w:r>
      <w:r>
        <w:rPr>
          <w:sz w:val="22"/>
          <w:szCs w:val="22"/>
        </w:rPr>
        <w:t>’</w:t>
      </w:r>
      <w:r w:rsidRPr="00851F7B">
        <w:rPr>
          <w:sz w:val="22"/>
          <w:szCs w:val="22"/>
        </w:rPr>
        <w:t>autre aimerait ajouter quelque chose dans le cas où il trouverait le droit fédéral inadéquat.</w:t>
      </w:r>
      <w:r>
        <w:rPr>
          <w:sz w:val="22"/>
          <w:szCs w:val="22"/>
        </w:rPr>
        <w:t xml:space="preserve"> </w:t>
      </w:r>
      <w:r w:rsidRPr="00851F7B">
        <w:rPr>
          <w:sz w:val="22"/>
          <w:szCs w:val="22"/>
        </w:rPr>
        <w:t>De plus, je ne vois pas pourquoi, en principe, des appels ne pourraient pas être introduits dans d</w:t>
      </w:r>
      <w:r>
        <w:rPr>
          <w:sz w:val="22"/>
          <w:szCs w:val="22"/>
        </w:rPr>
        <w:t>’</w:t>
      </w:r>
      <w:r w:rsidRPr="00851F7B">
        <w:rPr>
          <w:sz w:val="22"/>
          <w:szCs w:val="22"/>
        </w:rPr>
        <w:t>autres procédures interlocutoires, ou même pourquoi d</w:t>
      </w:r>
      <w:r>
        <w:rPr>
          <w:sz w:val="22"/>
          <w:szCs w:val="22"/>
        </w:rPr>
        <w:t>’</w:t>
      </w:r>
      <w:r w:rsidRPr="00851F7B">
        <w:rPr>
          <w:sz w:val="22"/>
          <w:szCs w:val="22"/>
        </w:rPr>
        <w:t>autres règles de procédure provinciales ne pourraient pas être adoptées, comme on a tenté de le faire dans l</w:t>
      </w:r>
      <w:r>
        <w:rPr>
          <w:sz w:val="22"/>
          <w:szCs w:val="22"/>
        </w:rPr>
        <w:t>’</w:t>
      </w:r>
      <w:r w:rsidRPr="00851F7B">
        <w:rPr>
          <w:sz w:val="22"/>
          <w:szCs w:val="22"/>
        </w:rPr>
        <w:t>arrêt </w:t>
      </w:r>
      <w:r w:rsidRPr="00851F7B">
        <w:rPr>
          <w:i/>
          <w:iCs/>
          <w:sz w:val="22"/>
          <w:szCs w:val="22"/>
        </w:rPr>
        <w:t>Lafleur</w:t>
      </w:r>
      <w:r w:rsidRPr="00851F7B">
        <w:rPr>
          <w:sz w:val="22"/>
          <w:szCs w:val="22"/>
        </w:rPr>
        <w:t>.</w:t>
      </w:r>
      <w:r>
        <w:rPr>
          <w:sz w:val="22"/>
          <w:szCs w:val="22"/>
        </w:rPr>
        <w:t xml:space="preserve"> </w:t>
      </w:r>
      <w:r w:rsidRPr="00851F7B">
        <w:rPr>
          <w:sz w:val="22"/>
          <w:szCs w:val="22"/>
        </w:rPr>
        <w:t>J</w:t>
      </w:r>
      <w:r>
        <w:rPr>
          <w:sz w:val="22"/>
          <w:szCs w:val="22"/>
        </w:rPr>
        <w:t>’</w:t>
      </w:r>
      <w:r w:rsidRPr="00851F7B">
        <w:rPr>
          <w:sz w:val="22"/>
          <w:szCs w:val="22"/>
        </w:rPr>
        <w:t>estime que, sauf s</w:t>
      </w:r>
      <w:r>
        <w:rPr>
          <w:sz w:val="22"/>
          <w:szCs w:val="22"/>
        </w:rPr>
        <w:t>’</w:t>
      </w:r>
      <w:r w:rsidRPr="00851F7B">
        <w:rPr>
          <w:sz w:val="22"/>
          <w:szCs w:val="22"/>
        </w:rPr>
        <w:t>il y a adoption par le fédéral, cela est inacceptable sur le plan constitutionnel.</w:t>
      </w:r>
      <w:r>
        <w:rPr>
          <w:sz w:val="22"/>
          <w:szCs w:val="22"/>
        </w:rPr>
        <w:t xml:space="preserve"> </w:t>
      </w:r>
      <w:r w:rsidRPr="00851F7B">
        <w:rPr>
          <w:sz w:val="22"/>
          <w:szCs w:val="22"/>
        </w:rPr>
        <w:t>Ce n</w:t>
      </w:r>
      <w:r>
        <w:rPr>
          <w:sz w:val="22"/>
          <w:szCs w:val="22"/>
        </w:rPr>
        <w:t>’</w:t>
      </w:r>
      <w:r w:rsidRPr="00851F7B">
        <w:rPr>
          <w:sz w:val="22"/>
          <w:szCs w:val="22"/>
        </w:rPr>
        <w:t>est certainement pas pratique.</w:t>
      </w:r>
      <w:r>
        <w:rPr>
          <w:sz w:val="22"/>
          <w:szCs w:val="22"/>
        </w:rPr>
        <w:t xml:space="preserve"> </w:t>
      </w:r>
      <w:r w:rsidRPr="00851F7B">
        <w:rPr>
          <w:sz w:val="22"/>
          <w:szCs w:val="22"/>
        </w:rPr>
        <w:t>En matière de procédure et, plus particulièrement en matière de procédure criminelle, il importe de savoir ce qui devrait être fait ensuite.</w:t>
      </w:r>
      <w:r>
        <w:rPr>
          <w:sz w:val="22"/>
          <w:szCs w:val="22"/>
        </w:rPr>
        <w:t xml:space="preserve"> </w:t>
      </w:r>
      <w:r w:rsidRPr="00851F7B">
        <w:rPr>
          <w:sz w:val="22"/>
          <w:szCs w:val="22"/>
        </w:rPr>
        <w:t>C</w:t>
      </w:r>
      <w:r>
        <w:rPr>
          <w:sz w:val="22"/>
          <w:szCs w:val="22"/>
        </w:rPr>
        <w:t>’</w:t>
      </w:r>
      <w:r w:rsidRPr="00851F7B">
        <w:rPr>
          <w:sz w:val="22"/>
          <w:szCs w:val="22"/>
        </w:rPr>
        <w:t>est sans doute pourquoi le Parlement a adopté une procédure complète en vertu du </w:t>
      </w:r>
      <w:r w:rsidRPr="00851F7B">
        <w:rPr>
          <w:i/>
          <w:iCs/>
          <w:sz w:val="22"/>
          <w:szCs w:val="22"/>
        </w:rPr>
        <w:t>Code criminel </w:t>
      </w:r>
      <w:r w:rsidRPr="00851F7B">
        <w:rPr>
          <w:sz w:val="22"/>
          <w:szCs w:val="22"/>
        </w:rPr>
        <w:t>[…]</w:t>
      </w:r>
      <w:r w:rsidRPr="00851F7B">
        <w:rPr>
          <w:rStyle w:val="Appelnotedebasdep"/>
          <w:sz w:val="22"/>
          <w:szCs w:val="22"/>
        </w:rPr>
        <w:footnoteReference w:id="88"/>
      </w:r>
    </w:p>
    <w:p w14:paraId="675042EF" w14:textId="77777777" w:rsidR="005C67B6" w:rsidRPr="004B29E2" w:rsidRDefault="005C67B6" w:rsidP="005C67B6">
      <w:pPr>
        <w:pStyle w:val="Paragraphe"/>
        <w:spacing w:line="240" w:lineRule="auto"/>
      </w:pPr>
      <w:r>
        <w:t>Bref, l</w:t>
      </w:r>
      <w:r w:rsidRPr="00851F7B">
        <w:t xml:space="preserve">a procédure dans le cadre de laquelle cette question constitutionnelle s’inscrit est essentiellement criminelle et il n’y a pas lieu d’appliquer les dispositions du </w:t>
      </w:r>
      <w:r w:rsidRPr="00DD4C4B">
        <w:rPr>
          <w:i/>
          <w:iCs/>
        </w:rPr>
        <w:t>C.p</w:t>
      </w:r>
      <w:r>
        <w:rPr>
          <w:i/>
          <w:iCs/>
        </w:rPr>
        <w:t>.</w:t>
      </w:r>
      <w:r w:rsidRPr="00DD4C4B">
        <w:rPr>
          <w:i/>
          <w:iCs/>
        </w:rPr>
        <w:t>c.</w:t>
      </w:r>
    </w:p>
    <w:p w14:paraId="0D24A5CA" w14:textId="77777777" w:rsidR="005C67B6" w:rsidRDefault="005C67B6" w:rsidP="005C67B6">
      <w:pPr>
        <w:pStyle w:val="Paragraphe"/>
        <w:spacing w:line="240" w:lineRule="auto"/>
      </w:pPr>
      <w:r>
        <w:t xml:space="preserve">Deuxièmement, dans </w:t>
      </w:r>
      <w:r w:rsidRPr="004B29E2">
        <w:rPr>
          <w:i/>
          <w:iCs/>
        </w:rPr>
        <w:t>Laba</w:t>
      </w:r>
      <w:r>
        <w:t xml:space="preserve">, la Cour suprême était confrontée au problème de « l’absurdité » qui résulterait d’une interprétation du paragraphe 40(3) </w:t>
      </w:r>
      <w:r w:rsidRPr="004B29E2">
        <w:rPr>
          <w:i/>
          <w:iCs/>
        </w:rPr>
        <w:t>LCS</w:t>
      </w:r>
      <w:r w:rsidRPr="00C14FCC">
        <w:t xml:space="preserve"> </w:t>
      </w:r>
      <w:r>
        <w:t xml:space="preserve">qui empêcherait l’examen de </w:t>
      </w:r>
      <w:r w:rsidRPr="00C14FCC">
        <w:t xml:space="preserve">la constitutionnalité d'une règle de droit </w:t>
      </w:r>
      <w:r>
        <w:t xml:space="preserve">en l’absence d’un appel de </w:t>
      </w:r>
      <w:r w:rsidRPr="00C14FCC">
        <w:t xml:space="preserve">la </w:t>
      </w:r>
      <w:r>
        <w:t xml:space="preserve">déclaration de </w:t>
      </w:r>
      <w:r w:rsidRPr="00C14FCC">
        <w:t>culpabilit</w:t>
      </w:r>
      <w:r w:rsidRPr="004B29E2">
        <w:rPr>
          <w:rFonts w:cs="Arial"/>
        </w:rPr>
        <w:t>é</w:t>
      </w:r>
      <w:r w:rsidRPr="00C14FCC">
        <w:t xml:space="preserve"> ou </w:t>
      </w:r>
      <w:r>
        <w:t xml:space="preserve">de </w:t>
      </w:r>
      <w:r w:rsidRPr="00C14FCC">
        <w:t>l</w:t>
      </w:r>
      <w:r>
        <w:t xml:space="preserve">’acquittement </w:t>
      </w:r>
      <w:r w:rsidRPr="00C14FCC">
        <w:t>d</w:t>
      </w:r>
      <w:r>
        <w:t xml:space="preserve">’un </w:t>
      </w:r>
      <w:r w:rsidRPr="00C14FCC">
        <w:t>accus</w:t>
      </w:r>
      <w:r w:rsidRPr="004B29E2">
        <w:rPr>
          <w:rFonts w:cs="Arial"/>
        </w:rPr>
        <w:t>é</w:t>
      </w:r>
      <w:r>
        <w:rPr>
          <w:rStyle w:val="Appelnotedebasdep"/>
          <w:rFonts w:cs="Arial"/>
        </w:rPr>
        <w:footnoteReference w:id="89"/>
      </w:r>
      <w:r w:rsidRPr="004B29E2">
        <w:rPr>
          <w:rFonts w:cs="Arial"/>
        </w:rPr>
        <w:t>.</w:t>
      </w:r>
      <w:r>
        <w:t xml:space="preserve"> Tel n’est pas le cas e</w:t>
      </w:r>
      <w:r w:rsidRPr="00851F7B">
        <w:t xml:space="preserve">n l’espèce, </w:t>
      </w:r>
      <w:r>
        <w:t xml:space="preserve">puisque </w:t>
      </w:r>
      <w:r w:rsidRPr="00851F7B">
        <w:t>la question constitutionnelle peut être débattue dans le cadre d’un pourvoi interjeté en vertu de l’article 676(</w:t>
      </w:r>
      <w:r>
        <w:t>1</w:t>
      </w:r>
      <w:r w:rsidRPr="00851F7B">
        <w:t xml:space="preserve">)d) </w:t>
      </w:r>
      <w:r w:rsidRPr="004B29E2">
        <w:rPr>
          <w:i/>
          <w:iCs/>
        </w:rPr>
        <w:t xml:space="preserve">C.cr. </w:t>
      </w:r>
      <w:r>
        <w:t xml:space="preserve">Il n’y a donc pas de vide procédural en l’absence du recours à la « double procédure ». Si </w:t>
      </w:r>
      <w:r w:rsidRPr="00DD4C4B">
        <w:t>le DPCP av</w:t>
      </w:r>
      <w:r>
        <w:t>a</w:t>
      </w:r>
      <w:r w:rsidRPr="00DD4C4B">
        <w:t>it décidé de ne pas se pourvoir en</w:t>
      </w:r>
      <w:r>
        <w:t xml:space="preserve"> </w:t>
      </w:r>
      <w:r w:rsidRPr="00DD4C4B">
        <w:t>appel, alors, con</w:t>
      </w:r>
      <w:r>
        <w:t xml:space="preserve">formément </w:t>
      </w:r>
      <w:r w:rsidRPr="00DD4C4B">
        <w:t>à l</w:t>
      </w:r>
      <w:r>
        <w:t>’</w:t>
      </w:r>
      <w:r w:rsidRPr="00DD4C4B">
        <w:t>a</w:t>
      </w:r>
      <w:r>
        <w:t>r</w:t>
      </w:r>
      <w:r w:rsidRPr="00DD4C4B">
        <w:t>t</w:t>
      </w:r>
      <w:r>
        <w:t>icle</w:t>
      </w:r>
      <w:r w:rsidRPr="00DD4C4B">
        <w:t xml:space="preserve"> 23 </w:t>
      </w:r>
      <w:r w:rsidRPr="004B29E2">
        <w:rPr>
          <w:i/>
          <w:iCs/>
        </w:rPr>
        <w:t>L.D.p.c.p</w:t>
      </w:r>
      <w:r>
        <w:rPr>
          <w:i/>
          <w:iCs/>
        </w:rPr>
        <w:t>.</w:t>
      </w:r>
      <w:r w:rsidRPr="004B29E2">
        <w:rPr>
          <w:i/>
          <w:iCs/>
        </w:rPr>
        <w:t>,</w:t>
      </w:r>
      <w:r w:rsidRPr="00DD4C4B">
        <w:t xml:space="preserve"> le P</w:t>
      </w:r>
      <w:r>
        <w:t xml:space="preserve">GQ </w:t>
      </w:r>
      <w:r w:rsidRPr="00DD4C4B">
        <w:t xml:space="preserve">aurait pu </w:t>
      </w:r>
      <w:r>
        <w:t xml:space="preserve">lui-même </w:t>
      </w:r>
      <w:r w:rsidRPr="00DD4C4B">
        <w:t>prendre e</w:t>
      </w:r>
      <w:r>
        <w:t>n</w:t>
      </w:r>
      <w:r w:rsidRPr="00DD4C4B">
        <w:t xml:space="preserve"> charge l’appel</w:t>
      </w:r>
      <w:r>
        <w:t>.</w:t>
      </w:r>
    </w:p>
    <w:p w14:paraId="51F8FD7D" w14:textId="77777777" w:rsidR="005C67B6" w:rsidRDefault="005C67B6" w:rsidP="005C67B6">
      <w:pPr>
        <w:pStyle w:val="Paragraphe"/>
        <w:spacing w:line="240" w:lineRule="auto"/>
      </w:pPr>
      <w:r>
        <w:t xml:space="preserve">Qui plus est, comme le souligne le juge Vauclair dans son jugement déférant la question du droit d’appel du PGQ à la formation, alors que </w:t>
      </w:r>
      <w:r w:rsidRPr="005506DF">
        <w:rPr>
          <w:bCs/>
        </w:rPr>
        <w:t>le par</w:t>
      </w:r>
      <w:r>
        <w:rPr>
          <w:bCs/>
        </w:rPr>
        <w:t>agraphe</w:t>
      </w:r>
      <w:r w:rsidRPr="005506DF">
        <w:rPr>
          <w:bCs/>
        </w:rPr>
        <w:t xml:space="preserve"> 40(1) </w:t>
      </w:r>
      <w:r w:rsidRPr="005506DF">
        <w:rPr>
          <w:bCs/>
          <w:i/>
          <w:iCs/>
        </w:rPr>
        <w:t>LCS</w:t>
      </w:r>
      <w:r w:rsidRPr="005506DF">
        <w:rPr>
          <w:bCs/>
        </w:rPr>
        <w:t xml:space="preserve"> confère à la Cour suprême une compétence générale, laquelle n’est pas limitée par l’article 674 </w:t>
      </w:r>
      <w:r w:rsidRPr="008B1922">
        <w:rPr>
          <w:bCs/>
          <w:i/>
          <w:iCs/>
        </w:rPr>
        <w:t>C.cr</w:t>
      </w:r>
      <w:r w:rsidRPr="005506DF">
        <w:rPr>
          <w:bCs/>
        </w:rPr>
        <w:t>., « la Cour d’appel du Québec n’a pas cette compétence générale d’appel en matière criminelle. Elle n’a que la compétence que lui attribue la loi, le droit d’appel étant un droit exceptionnel »</w:t>
      </w:r>
      <w:r>
        <w:rPr>
          <w:rStyle w:val="Appelnotedebasdep"/>
        </w:rPr>
        <w:footnoteReference w:id="90"/>
      </w:r>
      <w:r>
        <w:t>.</w:t>
      </w:r>
      <w:r w:rsidRPr="005506DF">
        <w:rPr>
          <w:bCs/>
        </w:rPr>
        <w:t xml:space="preserve"> </w:t>
      </w:r>
      <w:r>
        <w:rPr>
          <w:bCs/>
        </w:rPr>
        <w:t xml:space="preserve">Par conséquent, il n’est ni approprié, ni juridique, d’appliquer la procédure adoptée suivant l’article 40 </w:t>
      </w:r>
      <w:r w:rsidRPr="00F42587">
        <w:rPr>
          <w:bCs/>
          <w:i/>
          <w:iCs/>
        </w:rPr>
        <w:t>LCS</w:t>
      </w:r>
      <w:r>
        <w:rPr>
          <w:bCs/>
        </w:rPr>
        <w:t xml:space="preserve"> par analogie. </w:t>
      </w:r>
    </w:p>
    <w:p w14:paraId="58218CB6" w14:textId="77777777" w:rsidR="005C67B6" w:rsidRDefault="005C67B6" w:rsidP="005C67B6">
      <w:pPr>
        <w:pStyle w:val="Paragraphe"/>
        <w:spacing w:line="240" w:lineRule="auto"/>
      </w:pPr>
      <w:r w:rsidRPr="00851F7B">
        <w:t xml:space="preserve">Je conclus donc que le PGQ ne peut se pourvoir en appel, ni en vertu du </w:t>
      </w:r>
      <w:r w:rsidRPr="004B29E2">
        <w:rPr>
          <w:i/>
          <w:iCs/>
        </w:rPr>
        <w:t>C.p.c.</w:t>
      </w:r>
      <w:r w:rsidRPr="00851F7B">
        <w:t xml:space="preserve">, inapplicable ici, ni en vertu du </w:t>
      </w:r>
      <w:r w:rsidRPr="004B29E2">
        <w:rPr>
          <w:i/>
          <w:iCs/>
        </w:rPr>
        <w:t>C.cr.</w:t>
      </w:r>
      <w:r w:rsidRPr="00851F7B">
        <w:t xml:space="preserve">, puisqu’il n’a pas pris en charge l’affaire conformément à l’article 23 </w:t>
      </w:r>
      <w:bookmarkStart w:id="26" w:name="_Hlk223012374"/>
      <w:r w:rsidRPr="004B29E2">
        <w:rPr>
          <w:i/>
          <w:iCs/>
        </w:rPr>
        <w:t>L.D.p.c.p</w:t>
      </w:r>
      <w:bookmarkEnd w:id="26"/>
      <w:r w:rsidRPr="004B29E2">
        <w:rPr>
          <w:i/>
          <w:iCs/>
        </w:rPr>
        <w:t>.</w:t>
      </w:r>
      <w:r w:rsidRPr="00851F7B">
        <w:t xml:space="preserve"> Cela ne </w:t>
      </w:r>
      <w:r>
        <w:t>signifie</w:t>
      </w:r>
      <w:r w:rsidRPr="00851F7B">
        <w:t xml:space="preserve"> pas pour autant qu’il n’a pas voix au chapitre.</w:t>
      </w:r>
    </w:p>
    <w:p w14:paraId="1A1FF5F7" w14:textId="77777777" w:rsidR="005C67B6" w:rsidRDefault="005C67B6" w:rsidP="005C67B6">
      <w:pPr>
        <w:pStyle w:val="Paragraphe"/>
        <w:spacing w:line="240" w:lineRule="auto"/>
      </w:pPr>
      <w:r w:rsidRPr="00851F7B">
        <w:t>Puisqu’il était partie</w:t>
      </w:r>
      <w:r>
        <w:t xml:space="preserve"> </w:t>
      </w:r>
      <w:r w:rsidRPr="00851F7B">
        <w:t xml:space="preserve">au litige en première instance, le PGQ est mis en cause dans le cadre de l’appel interjeté par le DPCP et, conformément aux règles de la Cour, il a </w:t>
      </w:r>
      <w:r>
        <w:t xml:space="preserve">le </w:t>
      </w:r>
      <w:r w:rsidRPr="00851F7B">
        <w:t xml:space="preserve">droit de produire un mémoire et des annexes (art. 37 </w:t>
      </w:r>
      <w:r w:rsidRPr="004B29E2">
        <w:rPr>
          <w:i/>
          <w:iCs/>
        </w:rPr>
        <w:t>R.C.a.Q.m.c.</w:t>
      </w:r>
      <w:r w:rsidRPr="00851F7B">
        <w:t>)</w:t>
      </w:r>
      <w:r>
        <w:t xml:space="preserve"> et de demander à la Cour de prononcer des conclusions contraires au dispositif du jugement de première instance</w:t>
      </w:r>
      <w:r>
        <w:rPr>
          <w:rStyle w:val="Appelnotedebasdep"/>
        </w:rPr>
        <w:footnoteReference w:id="91"/>
      </w:r>
      <w:r>
        <w:t xml:space="preserve">. </w:t>
      </w:r>
    </w:p>
    <w:p w14:paraId="572BC205" w14:textId="77777777" w:rsidR="005C67B6" w:rsidRDefault="005C67B6" w:rsidP="005C67B6">
      <w:pPr>
        <w:pStyle w:val="Paragraphe"/>
        <w:spacing w:line="240" w:lineRule="auto"/>
      </w:pPr>
      <w:r w:rsidRPr="00851F7B">
        <w:t xml:space="preserve">Je propose donc de rejeter la </w:t>
      </w:r>
      <w:r>
        <w:t>demande d’autorisation d’appel</w:t>
      </w:r>
      <w:r w:rsidRPr="00851F7B">
        <w:t xml:space="preserve">, puisque la Cour n’a pas compétence pour entendre l’appel, et de désigner le PGQ comme mis en cause. </w:t>
      </w:r>
    </w:p>
    <w:p w14:paraId="44BF29FC" w14:textId="77777777" w:rsidR="005C67B6" w:rsidRDefault="005C67B6" w:rsidP="005C67B6">
      <w:pPr>
        <w:pStyle w:val="Paragraphe"/>
        <w:spacing w:line="240" w:lineRule="auto"/>
      </w:pPr>
      <w:r>
        <w:t>Tel que noté ci-haut, cette conclusion n’a aucun effet sur l’analyse des questions en litige, soit celle de la constitutionnalité des peines minimales pour les infractions de production et de distribution de pornographie juvénile, et celle de la peine appropriée en l’instance.</w:t>
      </w:r>
    </w:p>
    <w:p w14:paraId="74BA7F29" w14:textId="77777777" w:rsidR="005C67B6" w:rsidRDefault="005C67B6" w:rsidP="005C67B6">
      <w:pPr>
        <w:pStyle w:val="Paragraphe"/>
        <w:spacing w:after="360" w:line="240" w:lineRule="auto"/>
      </w:pPr>
      <w:r>
        <w:t>Sur ces dernières questions, je souscris aux motifs du juge Healy.</w:t>
      </w:r>
    </w:p>
    <w:tbl>
      <w:tblPr>
        <w:tblW w:w="0" w:type="auto"/>
        <w:tblLayout w:type="fixed"/>
        <w:tblCellMar>
          <w:left w:w="0" w:type="dxa"/>
          <w:right w:w="0" w:type="dxa"/>
        </w:tblCellMar>
        <w:tblLook w:val="0000" w:firstRow="0" w:lastRow="0" w:firstColumn="0" w:lastColumn="0" w:noHBand="0" w:noVBand="0"/>
      </w:tblPr>
      <w:tblGrid>
        <w:gridCol w:w="4735"/>
        <w:gridCol w:w="4625"/>
      </w:tblGrid>
      <w:tr w:rsidR="005C67B6" w14:paraId="5F913A61" w14:textId="77777777" w:rsidTr="001378A8">
        <w:trPr>
          <w:cantSplit/>
          <w:trHeight w:val="513"/>
        </w:trPr>
        <w:tc>
          <w:tcPr>
            <w:tcW w:w="9360" w:type="dxa"/>
            <w:gridSpan w:val="2"/>
          </w:tcPr>
          <w:p w14:paraId="31AD4733" w14:textId="77777777" w:rsidR="005C67B6" w:rsidRDefault="005C67B6" w:rsidP="001378A8"/>
        </w:tc>
      </w:tr>
      <w:tr w:rsidR="005C67B6" w14:paraId="023071E3" w14:textId="77777777" w:rsidTr="001378A8">
        <w:trPr>
          <w:cantSplit/>
          <w:trHeight w:val="277"/>
        </w:trPr>
        <w:tc>
          <w:tcPr>
            <w:tcW w:w="4735" w:type="dxa"/>
            <w:vMerge w:val="restart"/>
          </w:tcPr>
          <w:p w14:paraId="617986AF" w14:textId="77777777" w:rsidR="005C67B6" w:rsidRDefault="005C67B6" w:rsidP="001378A8"/>
        </w:tc>
        <w:tc>
          <w:tcPr>
            <w:tcW w:w="4625" w:type="dxa"/>
            <w:tcBorders>
              <w:bottom w:val="single" w:sz="8" w:space="0" w:color="auto"/>
            </w:tcBorders>
          </w:tcPr>
          <w:p w14:paraId="0E30D38D" w14:textId="77777777" w:rsidR="005C67B6" w:rsidRDefault="005C67B6" w:rsidP="001378A8"/>
        </w:tc>
      </w:tr>
      <w:tr w:rsidR="005C67B6" w14:paraId="6A3F8A89" w14:textId="77777777" w:rsidTr="001378A8">
        <w:trPr>
          <w:cantSplit/>
          <w:trHeight w:val="276"/>
        </w:trPr>
        <w:tc>
          <w:tcPr>
            <w:tcW w:w="4735" w:type="dxa"/>
            <w:vMerge/>
          </w:tcPr>
          <w:p w14:paraId="178DC4A5" w14:textId="77777777" w:rsidR="005C67B6" w:rsidRDefault="005C67B6" w:rsidP="001378A8"/>
        </w:tc>
        <w:tc>
          <w:tcPr>
            <w:tcW w:w="4625" w:type="dxa"/>
          </w:tcPr>
          <w:p w14:paraId="34BDA3BE" w14:textId="006EC666" w:rsidR="005C67B6" w:rsidRDefault="00C2160B" w:rsidP="001378A8">
            <w:r>
              <w:t>LORI RENÉE WEITZMAN, J.C.A.</w:t>
            </w:r>
          </w:p>
        </w:tc>
      </w:tr>
    </w:tbl>
    <w:p w14:paraId="445288DC" w14:textId="77777777" w:rsidR="005C67B6" w:rsidRPr="005C67B6" w:rsidRDefault="005C67B6" w:rsidP="005C67B6">
      <w:pPr>
        <w:pStyle w:val="Paragraphe"/>
        <w:numPr>
          <w:ilvl w:val="0"/>
          <w:numId w:val="0"/>
        </w:numPr>
        <w:spacing w:before="0" w:after="240" w:line="240" w:lineRule="auto"/>
        <w:rPr>
          <w:rFonts w:cs="Arial"/>
          <w:b/>
          <w:bCs/>
          <w:szCs w:val="24"/>
        </w:rPr>
      </w:pPr>
    </w:p>
    <w:p w14:paraId="7BDC0D3D" w14:textId="77777777" w:rsidR="005C67B6" w:rsidRPr="005C67B6" w:rsidRDefault="005C67B6" w:rsidP="005C67B6">
      <w:pPr>
        <w:pStyle w:val="Paragraphe"/>
        <w:numPr>
          <w:ilvl w:val="0"/>
          <w:numId w:val="0"/>
        </w:numPr>
        <w:spacing w:line="240" w:lineRule="auto"/>
        <w:rPr>
          <w:rFonts w:cs="Arial"/>
          <w:szCs w:val="24"/>
        </w:rPr>
      </w:pPr>
    </w:p>
    <w:bookmarkEnd w:id="12"/>
    <w:p w14:paraId="592D384C" w14:textId="77777777" w:rsidR="00740A17" w:rsidRPr="005C67B6" w:rsidRDefault="00740A17" w:rsidP="007F79C4"/>
    <w:sectPr w:rsidR="00740A17" w:rsidRPr="005C67B6" w:rsidSect="005C67B6">
      <w:headerReference w:type="default" r:id="rId17"/>
      <w:pgSz w:w="12242" w:h="15842" w:code="1"/>
      <w:pgMar w:top="709" w:right="1008" w:bottom="993" w:left="1872" w:header="1440" w:footer="79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8AB89" w14:textId="77777777" w:rsidR="00E91C06" w:rsidRDefault="00E91C06">
      <w:r>
        <w:separator/>
      </w:r>
    </w:p>
  </w:endnote>
  <w:endnote w:type="continuationSeparator" w:id="0">
    <w:p w14:paraId="1F4ED26B" w14:textId="77777777" w:rsidR="00E91C06" w:rsidRDefault="00E91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doni MT">
    <w:charset w:val="00"/>
    <w:family w:val="roman"/>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F5E9A" w14:textId="77777777" w:rsidR="005C67B6" w:rsidRDefault="005C67B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A8081" w14:textId="77777777" w:rsidR="005C67B6" w:rsidRDefault="005C67B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24C3" w14:textId="77777777" w:rsidR="005C67B6" w:rsidRDefault="005C67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196B0" w14:textId="77777777" w:rsidR="00E91C06" w:rsidRDefault="00E91C06">
      <w:r>
        <w:separator/>
      </w:r>
    </w:p>
  </w:footnote>
  <w:footnote w:type="continuationSeparator" w:id="0">
    <w:p w14:paraId="057ECB01" w14:textId="77777777" w:rsidR="00E91C06" w:rsidRDefault="00E91C06">
      <w:r>
        <w:continuationSeparator/>
      </w:r>
    </w:p>
  </w:footnote>
  <w:footnote w:id="1">
    <w:p w14:paraId="283B9F3A" w14:textId="77777777" w:rsidR="005C67B6" w:rsidRPr="00EB28CD" w:rsidRDefault="005C67B6" w:rsidP="005C67B6">
      <w:pPr>
        <w:pStyle w:val="Notedebasdepage"/>
        <w:rPr>
          <w:rFonts w:cs="Arial"/>
        </w:rPr>
      </w:pPr>
      <w:r w:rsidRPr="00377607">
        <w:rPr>
          <w:rStyle w:val="Appelnotedebasdep"/>
          <w:rFonts w:cs="Arial"/>
        </w:rPr>
        <w:footnoteRef/>
      </w:r>
      <w:r w:rsidRPr="00377607">
        <w:rPr>
          <w:rFonts w:cs="Arial"/>
        </w:rPr>
        <w:t xml:space="preserve"> </w:t>
      </w:r>
      <w:r w:rsidRPr="00377607">
        <w:rPr>
          <w:rFonts w:cs="Arial"/>
        </w:rPr>
        <w:tab/>
      </w:r>
      <w:r w:rsidRPr="00377607">
        <w:rPr>
          <w:rFonts w:cs="Arial"/>
          <w:i/>
          <w:iCs/>
        </w:rPr>
        <w:t>R. c. Gagnon</w:t>
      </w:r>
      <w:r w:rsidRPr="00377607">
        <w:rPr>
          <w:rFonts w:cs="Arial"/>
        </w:rPr>
        <w:t>, 2024 QCCQ 1345.</w:t>
      </w:r>
    </w:p>
  </w:footnote>
  <w:footnote w:id="2">
    <w:p w14:paraId="1258302A" w14:textId="77777777" w:rsidR="005C67B6" w:rsidRPr="00EB28CD" w:rsidRDefault="005C67B6" w:rsidP="005C67B6">
      <w:pPr>
        <w:pStyle w:val="Notedebasdepage"/>
        <w:rPr>
          <w:rFonts w:cs="Arial"/>
        </w:rPr>
      </w:pPr>
      <w:r w:rsidRPr="00377607">
        <w:rPr>
          <w:rStyle w:val="Appelnotedebasdep"/>
          <w:rFonts w:cs="Arial"/>
        </w:rPr>
        <w:footnoteRef/>
      </w:r>
      <w:r w:rsidRPr="00377607">
        <w:rPr>
          <w:rFonts w:cs="Arial"/>
        </w:rPr>
        <w:t xml:space="preserve"> </w:t>
      </w:r>
      <w:r w:rsidRPr="00377607">
        <w:rPr>
          <w:rFonts w:cs="Arial"/>
        </w:rPr>
        <w:tab/>
        <w:t xml:space="preserve">L.R.C. 1985, ch. C-46 (tel que modifié). </w:t>
      </w:r>
    </w:p>
  </w:footnote>
  <w:footnote w:id="3">
    <w:p w14:paraId="5C3C88A8" w14:textId="77777777" w:rsidR="005C67B6" w:rsidRPr="00EB28CD" w:rsidRDefault="005C67B6" w:rsidP="005C67B6">
      <w:pPr>
        <w:pStyle w:val="Notedebasdepage"/>
        <w:rPr>
          <w:rFonts w:cs="Arial"/>
        </w:rPr>
      </w:pPr>
      <w:r w:rsidRPr="00377607">
        <w:rPr>
          <w:rStyle w:val="Appelnotedebasdep"/>
          <w:rFonts w:cs="Arial"/>
        </w:rPr>
        <w:footnoteRef/>
      </w:r>
      <w:r w:rsidRPr="00377607">
        <w:rPr>
          <w:rFonts w:cs="Arial"/>
        </w:rPr>
        <w:t xml:space="preserve"> </w:t>
      </w:r>
      <w:r w:rsidRPr="00E556F0">
        <w:rPr>
          <w:rFonts w:ascii="Bodoni MT" w:hAnsi="Bodoni MT"/>
        </w:rPr>
        <w:tab/>
      </w:r>
      <w:r w:rsidRPr="00377607">
        <w:rPr>
          <w:rFonts w:cs="Arial"/>
        </w:rPr>
        <w:t xml:space="preserve">Le DPCP ne fait pas mention de la peine minimale prévue pour possession. </w:t>
      </w:r>
    </w:p>
  </w:footnote>
  <w:footnote w:id="4">
    <w:p w14:paraId="1953873A" w14:textId="77777777" w:rsidR="005C67B6" w:rsidRDefault="005C67B6" w:rsidP="005C67B6">
      <w:pPr>
        <w:pStyle w:val="Notedebasdepage"/>
      </w:pPr>
      <w:r>
        <w:rPr>
          <w:rStyle w:val="Appelnotedebasdep"/>
        </w:rPr>
        <w:footnoteRef/>
      </w:r>
      <w:r>
        <w:t xml:space="preserve"> </w:t>
      </w:r>
      <w:r>
        <w:tab/>
        <w:t xml:space="preserve">Voir </w:t>
      </w:r>
      <w:r w:rsidRPr="00B92167">
        <w:rPr>
          <w:i/>
          <w:iCs/>
        </w:rPr>
        <w:t>Requête en autorisation d’appel de la sentence</w:t>
      </w:r>
      <w:r>
        <w:rPr>
          <w:i/>
          <w:iCs/>
        </w:rPr>
        <w:t>,</w:t>
      </w:r>
      <w:r>
        <w:t xml:space="preserve"> datée du 8 février 2024.</w:t>
      </w:r>
    </w:p>
  </w:footnote>
  <w:footnote w:id="5">
    <w:p w14:paraId="347768A7" w14:textId="77777777" w:rsidR="005C67B6" w:rsidRPr="00EB28CD" w:rsidRDefault="005C67B6" w:rsidP="005C67B6">
      <w:pPr>
        <w:pStyle w:val="Notedebasdepage"/>
        <w:rPr>
          <w:rFonts w:cs="Arial"/>
        </w:rPr>
      </w:pPr>
      <w:r w:rsidRPr="00377607">
        <w:rPr>
          <w:rStyle w:val="Appelnotedebasdep"/>
          <w:rFonts w:cs="Arial"/>
        </w:rPr>
        <w:footnoteRef/>
      </w:r>
      <w:r w:rsidRPr="00377607">
        <w:rPr>
          <w:rFonts w:cs="Arial"/>
        </w:rPr>
        <w:t xml:space="preserve"> </w:t>
      </w:r>
      <w:r w:rsidRPr="00377607">
        <w:rPr>
          <w:rFonts w:cs="Arial"/>
        </w:rPr>
        <w:tab/>
        <w:t xml:space="preserve">Les moyens présentés par le PGQ devant la formation ont été reformulés et le paragraphe 9.4, tel que rédigé, a été supprimé. </w:t>
      </w:r>
    </w:p>
  </w:footnote>
  <w:footnote w:id="6">
    <w:p w14:paraId="63F6AB6D" w14:textId="77777777" w:rsidR="005C67B6" w:rsidRPr="00EB28CD" w:rsidRDefault="005C67B6" w:rsidP="005C67B6">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t>L</w:t>
      </w:r>
      <w:r>
        <w:rPr>
          <w:rFonts w:cs="Arial"/>
        </w:rPr>
        <w:t>es</w:t>
      </w:r>
      <w:r w:rsidRPr="008C5E69">
        <w:rPr>
          <w:rFonts w:cs="Arial"/>
        </w:rPr>
        <w:t xml:space="preserve"> personne</w:t>
      </w:r>
      <w:r>
        <w:rPr>
          <w:rFonts w:cs="Arial"/>
        </w:rPr>
        <w:t>s</w:t>
      </w:r>
      <w:r w:rsidRPr="008C5E69">
        <w:rPr>
          <w:rFonts w:cs="Arial"/>
        </w:rPr>
        <w:t xml:space="preserve"> qui occupe</w:t>
      </w:r>
      <w:r>
        <w:rPr>
          <w:rFonts w:cs="Arial"/>
        </w:rPr>
        <w:t>nt</w:t>
      </w:r>
      <w:r w:rsidRPr="008C5E69">
        <w:rPr>
          <w:rFonts w:cs="Arial"/>
        </w:rPr>
        <w:t xml:space="preserve"> le poste de PGQ</w:t>
      </w:r>
      <w:r>
        <w:rPr>
          <w:rFonts w:cs="Arial"/>
        </w:rPr>
        <w:t xml:space="preserve"> et le poste de DPCP</w:t>
      </w:r>
      <w:r w:rsidRPr="008C5E69">
        <w:rPr>
          <w:rFonts w:cs="Arial"/>
        </w:rPr>
        <w:t xml:space="preserve"> à l</w:t>
      </w:r>
      <w:r>
        <w:rPr>
          <w:rFonts w:cs="Arial"/>
        </w:rPr>
        <w:t>’</w:t>
      </w:r>
      <w:r w:rsidRPr="008C5E69">
        <w:rPr>
          <w:rFonts w:cs="Arial"/>
        </w:rPr>
        <w:t xml:space="preserve">heure actuelle </w:t>
      </w:r>
      <w:r>
        <w:rPr>
          <w:rFonts w:cs="Arial"/>
        </w:rPr>
        <w:t>sont des</w:t>
      </w:r>
      <w:r w:rsidRPr="008C5E69">
        <w:rPr>
          <w:rFonts w:cs="Arial"/>
        </w:rPr>
        <w:t xml:space="preserve"> homme</w:t>
      </w:r>
      <w:r>
        <w:rPr>
          <w:rFonts w:cs="Arial"/>
        </w:rPr>
        <w:t>s</w:t>
      </w:r>
      <w:r w:rsidRPr="008C5E69">
        <w:rPr>
          <w:rFonts w:cs="Arial"/>
        </w:rPr>
        <w:t xml:space="preserve">. </w:t>
      </w:r>
    </w:p>
  </w:footnote>
  <w:footnote w:id="7">
    <w:p w14:paraId="091B6FDC" w14:textId="77777777" w:rsidR="005C67B6" w:rsidRPr="00FA6466" w:rsidRDefault="005C67B6" w:rsidP="005C67B6">
      <w:pPr>
        <w:pStyle w:val="Notedebasdepage"/>
        <w:rPr>
          <w:rFonts w:cs="Arial"/>
        </w:rPr>
      </w:pPr>
      <w:r w:rsidRPr="00FA6466">
        <w:rPr>
          <w:rStyle w:val="Appelnotedebasdep"/>
          <w:rFonts w:cs="Arial"/>
        </w:rPr>
        <w:footnoteRef/>
      </w:r>
      <w:r w:rsidRPr="00FA6466">
        <w:rPr>
          <w:rFonts w:cs="Arial"/>
        </w:rPr>
        <w:t xml:space="preserve"> </w:t>
      </w:r>
      <w:r w:rsidRPr="00FA6466">
        <w:rPr>
          <w:rFonts w:cs="Arial"/>
        </w:rPr>
        <w:tab/>
      </w:r>
      <w:r w:rsidRPr="00FA6466">
        <w:rPr>
          <w:rFonts w:cs="Arial"/>
          <w:i/>
          <w:iCs/>
        </w:rPr>
        <w:t>R. c. Kyres</w:t>
      </w:r>
      <w:r w:rsidRPr="00FA6466">
        <w:rPr>
          <w:rFonts w:cs="Arial"/>
        </w:rPr>
        <w:t>, 2018 QCCS 4671, par. 126-127.</w:t>
      </w:r>
    </w:p>
  </w:footnote>
  <w:footnote w:id="8">
    <w:p w14:paraId="7C9EF6AD" w14:textId="77777777" w:rsidR="005C67B6" w:rsidRPr="00EB28CD" w:rsidRDefault="005C67B6" w:rsidP="005C67B6">
      <w:pPr>
        <w:pStyle w:val="Notedebasdepage"/>
        <w:rPr>
          <w:rFonts w:cs="Arial"/>
        </w:rPr>
      </w:pPr>
      <w:r w:rsidRPr="00FA6466">
        <w:rPr>
          <w:rStyle w:val="Appelnotedebasdep"/>
          <w:rFonts w:cs="Arial"/>
        </w:rPr>
        <w:footnoteRef/>
      </w:r>
      <w:r w:rsidRPr="00FA6466">
        <w:rPr>
          <w:rFonts w:cs="Arial"/>
        </w:rPr>
        <w:t xml:space="preserve"> </w:t>
      </w:r>
      <w:r w:rsidRPr="00FA6466">
        <w:rPr>
          <w:rFonts w:cs="Arial"/>
        </w:rPr>
        <w:tab/>
        <w:t xml:space="preserve">Art. 79 </w:t>
      </w:r>
      <w:r w:rsidRPr="00FA6466">
        <w:rPr>
          <w:rFonts w:cs="Arial"/>
          <w:i/>
          <w:iCs/>
        </w:rPr>
        <w:t>C.p.c.</w:t>
      </w:r>
    </w:p>
  </w:footnote>
  <w:footnote w:id="9">
    <w:p w14:paraId="796A4E0B" w14:textId="77777777" w:rsidR="005C67B6" w:rsidRPr="00EB28CD" w:rsidRDefault="005C67B6" w:rsidP="005C67B6">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t>Pour un historique des poursuites criminelles en Angleterre, et plus précisément du rôle du procureur général, voir Edwards,</w:t>
      </w:r>
      <w:r>
        <w:rPr>
          <w:rFonts w:cs="Arial"/>
        </w:rPr>
        <w:t xml:space="preserve"> </w:t>
      </w:r>
      <w:r w:rsidRPr="00540D62">
        <w:rPr>
          <w:rFonts w:cs="Arial"/>
        </w:rPr>
        <w:t>J.Ll.J</w:t>
      </w:r>
      <w:r>
        <w:rPr>
          <w:rFonts w:cs="Arial"/>
        </w:rPr>
        <w:t>,</w:t>
      </w:r>
      <w:r w:rsidRPr="008C5E69">
        <w:rPr>
          <w:rFonts w:cs="Arial"/>
        </w:rPr>
        <w:t xml:space="preserve"> </w:t>
      </w:r>
      <w:r w:rsidRPr="008C5E69">
        <w:rPr>
          <w:rFonts w:cs="Arial"/>
          <w:i/>
          <w:iCs/>
        </w:rPr>
        <w:t>The Law Officers of the Crown</w:t>
      </w:r>
      <w:r>
        <w:rPr>
          <w:rFonts w:cs="Arial"/>
        </w:rPr>
        <w:t xml:space="preserve">, </w:t>
      </w:r>
      <w:bookmarkStart w:id="13" w:name="_Hlk224900323"/>
      <w:r>
        <w:rPr>
          <w:rFonts w:cs="Arial"/>
        </w:rPr>
        <w:t xml:space="preserve">London : Sweet &amp; Maxwell, </w:t>
      </w:r>
      <w:r w:rsidRPr="008C5E69">
        <w:rPr>
          <w:rFonts w:cs="Arial"/>
        </w:rPr>
        <w:t>1964</w:t>
      </w:r>
      <w:bookmarkEnd w:id="13"/>
      <w:r w:rsidRPr="008C5E69">
        <w:rPr>
          <w:rFonts w:cs="Arial"/>
        </w:rPr>
        <w:t>. En ce qui concerne l</w:t>
      </w:r>
      <w:r>
        <w:rPr>
          <w:rFonts w:cs="Arial"/>
        </w:rPr>
        <w:t>’</w:t>
      </w:r>
      <w:r w:rsidRPr="008C5E69">
        <w:rPr>
          <w:rFonts w:cs="Arial"/>
        </w:rPr>
        <w:t>évolution des poursuites publiques et du rôle du procureur général au Canada, voir</w:t>
      </w:r>
      <w:r>
        <w:rPr>
          <w:rFonts w:cs="Arial"/>
        </w:rPr>
        <w:t> </w:t>
      </w:r>
      <w:r w:rsidRPr="008C5E69">
        <w:rPr>
          <w:rFonts w:cs="Arial"/>
        </w:rPr>
        <w:t xml:space="preserve">: Commission de réforme du droit au Canada, </w:t>
      </w:r>
      <w:r w:rsidRPr="008C5E69">
        <w:rPr>
          <w:rFonts w:cs="Arial"/>
          <w:i/>
          <w:iCs/>
        </w:rPr>
        <w:t>Poursuites pénales : les pouvoirs du procureur général et des procureurs de la Couronne</w:t>
      </w:r>
      <w:r w:rsidRPr="008C5E69">
        <w:rPr>
          <w:rFonts w:cs="Arial"/>
        </w:rPr>
        <w:t xml:space="preserve">, Document de travail 62 (1990), 1- 59; Stenning, </w:t>
      </w:r>
      <w:r w:rsidRPr="008C5E69">
        <w:rPr>
          <w:rFonts w:cs="Arial"/>
          <w:i/>
          <w:iCs/>
        </w:rPr>
        <w:t>Appearing for the Crown</w:t>
      </w:r>
      <w:r w:rsidRPr="008C5E69">
        <w:rPr>
          <w:rFonts w:cs="Arial"/>
        </w:rPr>
        <w:t xml:space="preserve"> (1986), 5-31 et 101-109 et particulièrement 80-82 au sujet du Québec.</w:t>
      </w:r>
    </w:p>
  </w:footnote>
  <w:footnote w:id="10">
    <w:p w14:paraId="7E40FE4B" w14:textId="77777777" w:rsidR="005C67B6" w:rsidRPr="008C5E69" w:rsidRDefault="005C67B6" w:rsidP="005C67B6">
      <w:pPr>
        <w:pStyle w:val="Notedebasdepage"/>
        <w:rPr>
          <w:rFonts w:cs="Arial"/>
          <w:lang w:val="en-CA"/>
        </w:rPr>
      </w:pPr>
      <w:r w:rsidRPr="008C5E69">
        <w:rPr>
          <w:rStyle w:val="Appelnotedebasdep"/>
          <w:rFonts w:cs="Arial"/>
        </w:rPr>
        <w:footnoteRef/>
      </w:r>
      <w:r w:rsidRPr="00EB28CD">
        <w:rPr>
          <w:rFonts w:cs="Arial"/>
          <w:lang w:val="en-CA"/>
        </w:rPr>
        <w:t xml:space="preserve"> </w:t>
      </w:r>
      <w:r w:rsidRPr="00EB28CD">
        <w:rPr>
          <w:rFonts w:cs="Arial"/>
          <w:lang w:val="en-CA"/>
        </w:rPr>
        <w:tab/>
      </w:r>
      <w:r w:rsidRPr="00EB28CD">
        <w:rPr>
          <w:rFonts w:cs="Arial"/>
          <w:i/>
          <w:iCs/>
          <w:lang w:val="en-CA"/>
        </w:rPr>
        <w:t>R. v. Wilkes</w:t>
      </w:r>
      <w:r w:rsidRPr="00EB28CD">
        <w:rPr>
          <w:rFonts w:cs="Arial"/>
          <w:lang w:val="en-CA"/>
        </w:rPr>
        <w:t xml:space="preserve"> (1768) 97 E.R. 123, p. 125.</w:t>
      </w:r>
    </w:p>
  </w:footnote>
  <w:footnote w:id="11">
    <w:p w14:paraId="1E687EA8" w14:textId="77777777" w:rsidR="005C67B6" w:rsidRPr="008C5E69" w:rsidRDefault="005C67B6" w:rsidP="005C67B6">
      <w:pPr>
        <w:pStyle w:val="Notedebasdepage"/>
        <w:rPr>
          <w:rFonts w:cs="Arial"/>
          <w:lang w:val="en-CA"/>
        </w:rPr>
      </w:pPr>
      <w:r w:rsidRPr="008C5E69">
        <w:rPr>
          <w:rStyle w:val="Appelnotedebasdep"/>
          <w:rFonts w:cs="Arial"/>
        </w:rPr>
        <w:footnoteRef/>
      </w:r>
      <w:r w:rsidRPr="00EB28CD">
        <w:rPr>
          <w:rFonts w:cs="Arial"/>
          <w:lang w:val="en-CA"/>
        </w:rPr>
        <w:t xml:space="preserve"> </w:t>
      </w:r>
      <w:r w:rsidRPr="00EB28CD">
        <w:rPr>
          <w:rFonts w:cs="Arial"/>
          <w:lang w:val="en-CA"/>
        </w:rPr>
        <w:tab/>
        <w:t xml:space="preserve">Voir Hay, </w:t>
      </w:r>
      <w:r>
        <w:rPr>
          <w:rFonts w:cs="Arial"/>
          <w:lang w:val="en-CA"/>
        </w:rPr>
        <w:t xml:space="preserve">D., </w:t>
      </w:r>
      <w:r w:rsidRPr="00EB28CD">
        <w:rPr>
          <w:rFonts w:cs="Arial"/>
          <w:i/>
          <w:iCs/>
          <w:lang w:val="en-CA"/>
        </w:rPr>
        <w:t>Controlling the English Prosecutor,</w:t>
      </w:r>
      <w:r w:rsidRPr="00EB28CD">
        <w:rPr>
          <w:rFonts w:cs="Arial"/>
          <w:lang w:val="en-CA"/>
        </w:rPr>
        <w:t xml:space="preserve"> 21 Osgoode Hall L.J.</w:t>
      </w:r>
      <w:r>
        <w:rPr>
          <w:rFonts w:cs="Arial"/>
          <w:lang w:val="en-CA"/>
        </w:rPr>
        <w:t xml:space="preserve"> (1983),</w:t>
      </w:r>
      <w:r w:rsidRPr="00EB28CD">
        <w:rPr>
          <w:rFonts w:cs="Arial"/>
          <w:lang w:val="en-CA"/>
        </w:rPr>
        <w:t xml:space="preserve"> 165.</w:t>
      </w:r>
    </w:p>
  </w:footnote>
  <w:footnote w:id="12">
    <w:p w14:paraId="29CFACCD" w14:textId="77777777" w:rsidR="005C67B6" w:rsidRPr="008C5E69" w:rsidRDefault="005C67B6" w:rsidP="005C67B6">
      <w:pPr>
        <w:pStyle w:val="Notedebasdepage"/>
        <w:rPr>
          <w:rFonts w:cs="Arial"/>
          <w:lang w:val="en-CA"/>
        </w:rPr>
      </w:pPr>
      <w:r w:rsidRPr="008C5E69">
        <w:rPr>
          <w:rStyle w:val="Appelnotedebasdep"/>
          <w:rFonts w:cs="Arial"/>
        </w:rPr>
        <w:footnoteRef/>
      </w:r>
      <w:r w:rsidRPr="00EB28CD">
        <w:rPr>
          <w:rFonts w:cs="Arial"/>
          <w:lang w:val="en-CA"/>
        </w:rPr>
        <w:t xml:space="preserve"> </w:t>
      </w:r>
      <w:r w:rsidRPr="00EB28CD">
        <w:rPr>
          <w:rFonts w:cs="Arial"/>
          <w:lang w:val="en-CA"/>
        </w:rPr>
        <w:tab/>
        <w:t xml:space="preserve">Pour une analyse détaillée, voir Edwards, </w:t>
      </w:r>
      <w:r w:rsidRPr="00DE1559">
        <w:rPr>
          <w:rFonts w:cs="Arial"/>
          <w:lang w:val="en-CA"/>
        </w:rPr>
        <w:t>J.L</w:t>
      </w:r>
      <w:r>
        <w:rPr>
          <w:rFonts w:cs="Arial"/>
          <w:lang w:val="en-CA"/>
        </w:rPr>
        <w:t>l</w:t>
      </w:r>
      <w:r w:rsidRPr="00DE1559">
        <w:rPr>
          <w:rFonts w:cs="Arial"/>
          <w:lang w:val="en-CA"/>
        </w:rPr>
        <w:t xml:space="preserve">.J., </w:t>
      </w:r>
      <w:r w:rsidRPr="00EB28CD">
        <w:rPr>
          <w:rFonts w:cs="Arial"/>
          <w:i/>
          <w:iCs/>
          <w:lang w:val="en-CA"/>
        </w:rPr>
        <w:t>The Law Officers of the Crown</w:t>
      </w:r>
      <w:r>
        <w:rPr>
          <w:rFonts w:cs="Arial"/>
          <w:i/>
          <w:iCs/>
          <w:lang w:val="en-CA"/>
        </w:rPr>
        <w:t xml:space="preserve">, </w:t>
      </w:r>
      <w:r w:rsidRPr="00DE1559">
        <w:rPr>
          <w:rFonts w:cs="Arial"/>
          <w:lang w:val="en-CA"/>
        </w:rPr>
        <w:t>London : Sweet &amp; Maxwell, 1964</w:t>
      </w:r>
      <w:r w:rsidRPr="00EB28CD">
        <w:rPr>
          <w:rFonts w:cs="Arial"/>
          <w:lang w:val="en-CA"/>
        </w:rPr>
        <w:t>; Edwards,</w:t>
      </w:r>
      <w:r w:rsidRPr="00DE1559">
        <w:rPr>
          <w:rFonts w:cs="Arial"/>
          <w:lang w:val="en-CA"/>
        </w:rPr>
        <w:t xml:space="preserve"> J.L</w:t>
      </w:r>
      <w:r>
        <w:rPr>
          <w:rFonts w:cs="Arial"/>
          <w:lang w:val="en-CA"/>
        </w:rPr>
        <w:t>l</w:t>
      </w:r>
      <w:r w:rsidRPr="00DE1559">
        <w:rPr>
          <w:rFonts w:cs="Arial"/>
          <w:lang w:val="en-CA"/>
        </w:rPr>
        <w:t xml:space="preserve">.J., </w:t>
      </w:r>
      <w:r w:rsidRPr="00EB28CD">
        <w:rPr>
          <w:rFonts w:cs="Arial"/>
          <w:i/>
          <w:iCs/>
          <w:lang w:val="en-CA"/>
        </w:rPr>
        <w:t>The Attorney General, Politics and the Public Interest</w:t>
      </w:r>
      <w:r>
        <w:rPr>
          <w:rFonts w:cs="Arial"/>
          <w:i/>
          <w:iCs/>
          <w:lang w:val="en-CA"/>
        </w:rPr>
        <w:t>,</w:t>
      </w:r>
      <w:r w:rsidRPr="00EB28CD">
        <w:rPr>
          <w:rFonts w:cs="Arial"/>
          <w:lang w:val="en-CA"/>
        </w:rPr>
        <w:t xml:space="preserve"> </w:t>
      </w:r>
      <w:r w:rsidRPr="00DE1559">
        <w:rPr>
          <w:rFonts w:cs="Arial"/>
          <w:lang w:val="en-CA"/>
        </w:rPr>
        <w:t>London : Sweet &amp; Maxwell, 1964</w:t>
      </w:r>
      <w:r w:rsidRPr="00EB28CD">
        <w:rPr>
          <w:rFonts w:cs="Arial"/>
          <w:lang w:val="en-CA"/>
        </w:rPr>
        <w:t xml:space="preserve">; Kurland et Waters, </w:t>
      </w:r>
      <w:r w:rsidRPr="00EB28CD">
        <w:rPr>
          <w:rFonts w:cs="Arial"/>
          <w:i/>
          <w:iCs/>
          <w:lang w:val="en-CA"/>
        </w:rPr>
        <w:t xml:space="preserve">Public Prosecution in England, 1854-1879: An Essay in English Legislative History </w:t>
      </w:r>
      <w:r w:rsidRPr="00EB28CD">
        <w:rPr>
          <w:rFonts w:cs="Arial"/>
          <w:lang w:val="en-CA"/>
        </w:rPr>
        <w:t xml:space="preserve">(1959) 9 Duke L.J. 493; Hay, </w:t>
      </w:r>
      <w:r w:rsidRPr="00EB28CD">
        <w:rPr>
          <w:rFonts w:cs="Arial"/>
          <w:i/>
          <w:iCs/>
          <w:lang w:val="en-CA"/>
        </w:rPr>
        <w:t>Controlling the English Prosecutor</w:t>
      </w:r>
      <w:r w:rsidRPr="00EB28CD">
        <w:rPr>
          <w:rFonts w:cs="Arial"/>
          <w:lang w:val="en-CA"/>
        </w:rPr>
        <w:t xml:space="preserve"> (1983) 21 Osgoode Hall L.J. 165.</w:t>
      </w:r>
    </w:p>
  </w:footnote>
  <w:footnote w:id="13">
    <w:p w14:paraId="1F25100A" w14:textId="54E9D359" w:rsidR="005C67B6" w:rsidRPr="00EB28CD" w:rsidRDefault="005C67B6" w:rsidP="005C67B6">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t>Article 2. Le terme « surveillance » (</w:t>
      </w:r>
      <w:r w:rsidRPr="008C5E69">
        <w:rPr>
          <w:rFonts w:cs="Arial"/>
          <w:i/>
          <w:iCs/>
        </w:rPr>
        <w:t>superintendence</w:t>
      </w:r>
      <w:r w:rsidRPr="008C5E69">
        <w:rPr>
          <w:rFonts w:cs="Arial"/>
        </w:rPr>
        <w:t xml:space="preserve">) a été utilisé à cette fin depuis 1879 et est toujours utilisé au Québec : </w:t>
      </w:r>
      <w:r w:rsidRPr="008C5E69">
        <w:rPr>
          <w:rFonts w:cs="Arial"/>
          <w:i/>
          <w:iCs/>
        </w:rPr>
        <w:t>Loi sur le Ministère de la Justice</w:t>
      </w:r>
      <w:r w:rsidRPr="008C5E69">
        <w:rPr>
          <w:rFonts w:cs="Arial"/>
        </w:rPr>
        <w:t>, RLRQ, c. M-19 (« </w:t>
      </w:r>
      <w:r w:rsidRPr="008C5E69">
        <w:rPr>
          <w:rFonts w:cs="Arial"/>
          <w:i/>
          <w:iCs/>
        </w:rPr>
        <w:t>Loi sur le MJ</w:t>
      </w:r>
      <w:r w:rsidRPr="008C5E69">
        <w:rPr>
          <w:rFonts w:cs="Arial"/>
        </w:rPr>
        <w:t> »), art.</w:t>
      </w:r>
      <w:r>
        <w:rPr>
          <w:rFonts w:cs="Arial"/>
        </w:rPr>
        <w:t> </w:t>
      </w:r>
      <w:r w:rsidRPr="008C5E69">
        <w:rPr>
          <w:rFonts w:cs="Arial"/>
        </w:rPr>
        <w:t>3 al.</w:t>
      </w:r>
      <w:r>
        <w:rPr>
          <w:rFonts w:cs="Arial"/>
        </w:rPr>
        <w:t> </w:t>
      </w:r>
      <w:r w:rsidRPr="008C5E69">
        <w:rPr>
          <w:rFonts w:cs="Arial"/>
        </w:rPr>
        <w:t xml:space="preserve">c). Voir aussi </w:t>
      </w:r>
      <w:r w:rsidRPr="008C5E69">
        <w:rPr>
          <w:rFonts w:cs="Arial"/>
          <w:i/>
          <w:iCs/>
        </w:rPr>
        <w:t xml:space="preserve">Loi sur le </w:t>
      </w:r>
      <w:r w:rsidR="00837FBA">
        <w:rPr>
          <w:rFonts w:cs="Arial"/>
          <w:i/>
          <w:iCs/>
        </w:rPr>
        <w:t>m</w:t>
      </w:r>
      <w:r w:rsidRPr="008C5E69">
        <w:rPr>
          <w:rFonts w:cs="Arial"/>
          <w:i/>
          <w:iCs/>
        </w:rPr>
        <w:t>inistère de la Justice</w:t>
      </w:r>
      <w:r w:rsidRPr="008C5E69">
        <w:rPr>
          <w:rFonts w:cs="Arial"/>
        </w:rPr>
        <w:t>, L.R.C. 1985, ch.</w:t>
      </w:r>
      <w:r>
        <w:rPr>
          <w:rFonts w:cs="Arial"/>
        </w:rPr>
        <w:t> </w:t>
      </w:r>
      <w:r w:rsidRPr="008C5E69">
        <w:rPr>
          <w:rFonts w:cs="Arial"/>
        </w:rPr>
        <w:t>J-2, al.</w:t>
      </w:r>
      <w:r>
        <w:rPr>
          <w:rFonts w:cs="Arial"/>
        </w:rPr>
        <w:t> </w:t>
      </w:r>
      <w:r w:rsidRPr="008C5E69">
        <w:rPr>
          <w:rFonts w:cs="Arial"/>
        </w:rPr>
        <w:t xml:space="preserve">4b), où </w:t>
      </w:r>
      <w:r w:rsidRPr="008C5E69">
        <w:rPr>
          <w:rFonts w:cs="Arial"/>
          <w:i/>
          <w:iCs/>
        </w:rPr>
        <w:t>superintendence</w:t>
      </w:r>
      <w:r w:rsidRPr="008C5E69">
        <w:rPr>
          <w:rFonts w:cs="Arial"/>
        </w:rPr>
        <w:t xml:space="preserve"> est toujours employé dans la version anglaise. </w:t>
      </w:r>
    </w:p>
  </w:footnote>
  <w:footnote w:id="14">
    <w:p w14:paraId="6BE501C2" w14:textId="77777777" w:rsidR="005C67B6" w:rsidRPr="00A8513D" w:rsidRDefault="005C67B6" w:rsidP="005C67B6">
      <w:pPr>
        <w:pStyle w:val="Notedebasdepage"/>
        <w:rPr>
          <w:rFonts w:ascii="Bodoni MT" w:hAnsi="Bodoni MT"/>
          <w:lang w:val="en-CA"/>
        </w:rPr>
      </w:pPr>
      <w:r w:rsidRPr="008C5E69">
        <w:rPr>
          <w:rStyle w:val="Appelnotedebasdep"/>
          <w:rFonts w:cs="Arial"/>
        </w:rPr>
        <w:footnoteRef/>
      </w:r>
      <w:r w:rsidRPr="00EB28CD">
        <w:rPr>
          <w:rFonts w:cs="Arial"/>
          <w:lang w:val="en-CA"/>
        </w:rPr>
        <w:tab/>
        <w:t xml:space="preserve">Edwards, </w:t>
      </w:r>
      <w:r>
        <w:rPr>
          <w:rFonts w:cs="Arial"/>
          <w:lang w:val="en-CA"/>
        </w:rPr>
        <w:t xml:space="preserve">J.Ll.J, </w:t>
      </w:r>
      <w:r w:rsidRPr="00EB28CD">
        <w:rPr>
          <w:rFonts w:cs="Arial"/>
          <w:i/>
          <w:iCs/>
          <w:lang w:val="en-CA"/>
        </w:rPr>
        <w:t>The Law Officers of the Crown</w:t>
      </w:r>
      <w:r>
        <w:rPr>
          <w:rFonts w:cs="Arial"/>
          <w:i/>
          <w:iCs/>
          <w:lang w:val="en-CA"/>
        </w:rPr>
        <w:t xml:space="preserve">, </w:t>
      </w:r>
      <w:r w:rsidRPr="003E17A7">
        <w:rPr>
          <w:rFonts w:cs="Arial"/>
          <w:lang w:val="en-CA"/>
        </w:rPr>
        <w:t>London</w:t>
      </w:r>
      <w:r>
        <w:rPr>
          <w:rFonts w:cs="Arial"/>
          <w:lang w:val="en-CA"/>
        </w:rPr>
        <w:t> </w:t>
      </w:r>
      <w:r w:rsidRPr="003E17A7">
        <w:rPr>
          <w:rFonts w:cs="Arial"/>
          <w:lang w:val="en-CA"/>
        </w:rPr>
        <w:t>: Sweet &amp; Maxwell, 1964</w:t>
      </w:r>
      <w:r w:rsidRPr="00EB28CD">
        <w:rPr>
          <w:rFonts w:cs="Arial"/>
          <w:lang w:val="en-CA"/>
        </w:rPr>
        <w:t>, ch.</w:t>
      </w:r>
      <w:r>
        <w:rPr>
          <w:rFonts w:cs="Arial"/>
          <w:lang w:val="en-CA"/>
        </w:rPr>
        <w:t> </w:t>
      </w:r>
      <w:r w:rsidRPr="00EB28CD">
        <w:rPr>
          <w:rFonts w:cs="Arial"/>
          <w:lang w:val="en-CA"/>
        </w:rPr>
        <w:t xml:space="preserve">9-10; Edwards, </w:t>
      </w:r>
      <w:r>
        <w:rPr>
          <w:rFonts w:cs="Arial"/>
          <w:lang w:val="en-CA"/>
        </w:rPr>
        <w:t xml:space="preserve">J.Ll.J, </w:t>
      </w:r>
      <w:r w:rsidRPr="00EB28CD">
        <w:rPr>
          <w:rFonts w:cs="Arial"/>
          <w:i/>
          <w:iCs/>
          <w:lang w:val="en-CA"/>
        </w:rPr>
        <w:t>The Attorney General, Politics and the Public Interest</w:t>
      </w:r>
      <w:r>
        <w:rPr>
          <w:rFonts w:cs="Arial"/>
          <w:i/>
          <w:iCs/>
          <w:lang w:val="en-CA"/>
        </w:rPr>
        <w:t xml:space="preserve">, </w:t>
      </w:r>
      <w:r w:rsidRPr="003E17A7">
        <w:rPr>
          <w:rFonts w:cs="Arial"/>
          <w:lang w:val="en-CA"/>
        </w:rPr>
        <w:t>London</w:t>
      </w:r>
      <w:r>
        <w:rPr>
          <w:rFonts w:cs="Arial"/>
          <w:lang w:val="en-CA"/>
        </w:rPr>
        <w:t> </w:t>
      </w:r>
      <w:r w:rsidRPr="003E17A7">
        <w:rPr>
          <w:rFonts w:cs="Arial"/>
          <w:lang w:val="en-CA"/>
        </w:rPr>
        <w:t>: Sweet &amp; Maxwell, 19</w:t>
      </w:r>
      <w:r>
        <w:rPr>
          <w:rFonts w:cs="Arial"/>
          <w:lang w:val="en-CA"/>
        </w:rPr>
        <w:t>8</w:t>
      </w:r>
      <w:r w:rsidRPr="003E17A7">
        <w:rPr>
          <w:rFonts w:cs="Arial"/>
          <w:lang w:val="en-CA"/>
        </w:rPr>
        <w:t>4</w:t>
      </w:r>
      <w:r w:rsidRPr="00EB28CD">
        <w:rPr>
          <w:rFonts w:cs="Arial"/>
          <w:lang w:val="en-CA"/>
        </w:rPr>
        <w:t>.</w:t>
      </w:r>
    </w:p>
  </w:footnote>
  <w:footnote w:id="15">
    <w:p w14:paraId="4B815D2C" w14:textId="77777777" w:rsidR="005C67B6" w:rsidRPr="00EB28CD" w:rsidRDefault="005C67B6" w:rsidP="005C67B6">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t>R.-U., Débats de la Chambre des communes, 29 janvier 1951, vol. 483, col. 681.</w:t>
      </w:r>
    </w:p>
  </w:footnote>
  <w:footnote w:id="16">
    <w:p w14:paraId="3CE037D4" w14:textId="77777777" w:rsidR="005C67B6" w:rsidRPr="00A40035" w:rsidRDefault="005C67B6" w:rsidP="005C67B6">
      <w:pPr>
        <w:pStyle w:val="Notedebasdepage"/>
        <w:rPr>
          <w:rFonts w:cs="Arial"/>
          <w:lang w:val="en-CA"/>
        </w:rPr>
      </w:pPr>
      <w:r w:rsidRPr="008C5E69">
        <w:rPr>
          <w:rStyle w:val="Appelnotedebasdep"/>
          <w:rFonts w:cs="Arial"/>
        </w:rPr>
        <w:footnoteRef/>
      </w:r>
      <w:r w:rsidRPr="00A40035">
        <w:rPr>
          <w:rFonts w:cs="Arial"/>
          <w:lang w:val="en-CA"/>
        </w:rPr>
        <w:t xml:space="preserve"> </w:t>
      </w:r>
      <w:r w:rsidRPr="00A40035">
        <w:rPr>
          <w:rFonts w:cs="Arial"/>
          <w:lang w:val="en-CA"/>
        </w:rPr>
        <w:tab/>
        <w:t xml:space="preserve">Voir Commonwealth Secretariat, </w:t>
      </w:r>
      <w:r w:rsidRPr="00A40035">
        <w:rPr>
          <w:rFonts w:cs="Arial"/>
          <w:i/>
          <w:iCs/>
          <w:lang w:val="en-CA"/>
        </w:rPr>
        <w:t>Prosecution Independence and Accountability: Principles, Challenges and Recommendations</w:t>
      </w:r>
      <w:r w:rsidRPr="00A40035">
        <w:rPr>
          <w:rFonts w:cs="Arial"/>
          <w:lang w:val="en-CA"/>
        </w:rPr>
        <w:t xml:space="preserve"> (2017) 42 Comm. L. Bull. 567. </w:t>
      </w:r>
    </w:p>
  </w:footnote>
  <w:footnote w:id="17">
    <w:p w14:paraId="00CA8780" w14:textId="77777777" w:rsidR="005C67B6" w:rsidRPr="00FB303B" w:rsidRDefault="005C67B6" w:rsidP="005C67B6">
      <w:pPr>
        <w:pStyle w:val="Notedebasdepage"/>
        <w:rPr>
          <w:rFonts w:cs="Arial"/>
          <w:lang w:val="en-CA"/>
        </w:rPr>
      </w:pPr>
      <w:r w:rsidRPr="008C5E69">
        <w:rPr>
          <w:rStyle w:val="Appelnotedebasdep"/>
          <w:rFonts w:cs="Arial"/>
        </w:rPr>
        <w:footnoteRef/>
      </w:r>
      <w:r w:rsidRPr="00FB303B">
        <w:rPr>
          <w:rFonts w:cs="Arial"/>
          <w:lang w:val="en-CA"/>
        </w:rPr>
        <w:t xml:space="preserve"> </w:t>
      </w:r>
      <w:r w:rsidRPr="00FB303B">
        <w:rPr>
          <w:rFonts w:cs="Arial"/>
          <w:lang w:val="en-CA"/>
        </w:rPr>
        <w:tab/>
        <w:t>Pour des points de vue comparatifs, voir Edwards</w:t>
      </w:r>
      <w:r>
        <w:rPr>
          <w:rFonts w:cs="Arial"/>
          <w:lang w:val="en-CA"/>
        </w:rPr>
        <w:t xml:space="preserve"> J.Ll.J.</w:t>
      </w:r>
      <w:r w:rsidRPr="00FB303B">
        <w:rPr>
          <w:rFonts w:cs="Arial"/>
          <w:lang w:val="en-CA"/>
        </w:rPr>
        <w:t xml:space="preserve">, </w:t>
      </w:r>
      <w:r w:rsidRPr="00FB303B">
        <w:rPr>
          <w:rFonts w:cs="Arial"/>
          <w:i/>
          <w:iCs/>
          <w:lang w:val="en-CA"/>
        </w:rPr>
        <w:t xml:space="preserve">The Attorney General, Politics and the Public Interest, </w:t>
      </w:r>
      <w:r w:rsidRPr="00FB303B">
        <w:rPr>
          <w:rFonts w:cs="Arial"/>
          <w:lang w:val="en-CA"/>
        </w:rPr>
        <w:t>London : Sweet &amp; Maxw</w:t>
      </w:r>
      <w:r>
        <w:rPr>
          <w:rFonts w:cs="Arial"/>
          <w:lang w:val="en-CA"/>
        </w:rPr>
        <w:t>ell, 1984</w:t>
      </w:r>
      <w:r w:rsidRPr="00FB303B">
        <w:rPr>
          <w:rFonts w:cs="Arial"/>
          <w:lang w:val="en-CA"/>
        </w:rPr>
        <w:t>.</w:t>
      </w:r>
    </w:p>
  </w:footnote>
  <w:footnote w:id="18">
    <w:p w14:paraId="74BCF7EA" w14:textId="77777777" w:rsidR="005C67B6" w:rsidRPr="008C5E69" w:rsidRDefault="005C67B6" w:rsidP="005C67B6">
      <w:pPr>
        <w:pStyle w:val="Notedebasdepage"/>
        <w:rPr>
          <w:rFonts w:cs="Arial"/>
          <w:lang w:val="en-CA"/>
        </w:rPr>
      </w:pPr>
      <w:r w:rsidRPr="008C5E69">
        <w:rPr>
          <w:rStyle w:val="Appelnotedebasdep"/>
          <w:rFonts w:cs="Arial"/>
        </w:rPr>
        <w:footnoteRef/>
      </w:r>
      <w:r w:rsidRPr="00EB28CD">
        <w:rPr>
          <w:rFonts w:cs="Arial"/>
          <w:lang w:val="en-CA"/>
        </w:rPr>
        <w:t xml:space="preserve"> </w:t>
      </w:r>
      <w:r w:rsidRPr="00EB28CD">
        <w:rPr>
          <w:rFonts w:cs="Arial"/>
          <w:lang w:val="en-CA"/>
        </w:rPr>
        <w:tab/>
        <w:t xml:space="preserve">Edwards, </w:t>
      </w:r>
      <w:r>
        <w:rPr>
          <w:rFonts w:cs="Arial"/>
          <w:lang w:val="en-CA"/>
        </w:rPr>
        <w:t xml:space="preserve">J.Ll.J., </w:t>
      </w:r>
      <w:r w:rsidRPr="00EB28CD">
        <w:rPr>
          <w:rFonts w:cs="Arial"/>
          <w:i/>
          <w:iCs/>
          <w:lang w:val="en-CA"/>
        </w:rPr>
        <w:t>The Charter, Government and the Machinery of Justice</w:t>
      </w:r>
      <w:r w:rsidRPr="00EB28CD">
        <w:rPr>
          <w:rFonts w:cs="Arial"/>
          <w:lang w:val="en-CA"/>
        </w:rPr>
        <w:t xml:space="preserve"> (1987) </w:t>
      </w:r>
      <w:r>
        <w:rPr>
          <w:rFonts w:cs="Arial"/>
          <w:lang w:val="en-CA"/>
        </w:rPr>
        <w:t xml:space="preserve">36 </w:t>
      </w:r>
      <w:r w:rsidRPr="00EB28CD">
        <w:rPr>
          <w:rFonts w:cs="Arial"/>
          <w:lang w:val="en-CA"/>
        </w:rPr>
        <w:t xml:space="preserve">U.N.B. L.J. 41. </w:t>
      </w:r>
    </w:p>
  </w:footnote>
  <w:footnote w:id="19">
    <w:p w14:paraId="107FB19D" w14:textId="77777777" w:rsidR="005C67B6" w:rsidRPr="00EB28CD" w:rsidRDefault="005C67B6" w:rsidP="005C67B6">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t>R.-U., c. 23.</w:t>
      </w:r>
    </w:p>
  </w:footnote>
  <w:footnote w:id="20">
    <w:p w14:paraId="0DCD9EBE" w14:textId="77777777" w:rsidR="005C67B6" w:rsidRPr="00EB28CD" w:rsidRDefault="005C67B6" w:rsidP="005C67B6">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r>
      <w:r>
        <w:rPr>
          <w:rFonts w:cs="Arial"/>
          <w:i/>
          <w:iCs/>
        </w:rPr>
        <w:t xml:space="preserve">Id., </w:t>
      </w:r>
      <w:r w:rsidRPr="00176C0C">
        <w:rPr>
          <w:rFonts w:cs="Arial"/>
        </w:rPr>
        <w:t>a</w:t>
      </w:r>
      <w:r w:rsidRPr="008C5E69">
        <w:rPr>
          <w:rFonts w:cs="Arial"/>
        </w:rPr>
        <w:t>rticle 2.</w:t>
      </w:r>
    </w:p>
  </w:footnote>
  <w:footnote w:id="21">
    <w:p w14:paraId="244F962C" w14:textId="77777777" w:rsidR="005C67B6" w:rsidRPr="00EB28CD" w:rsidRDefault="005C67B6" w:rsidP="005C67B6">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t>La loi précise que le DPP est à la [</w:t>
      </w:r>
      <w:r w:rsidRPr="00FB303B">
        <w:rPr>
          <w:rFonts w:cs="Arial"/>
          <w:sz w:val="16"/>
          <w:szCs w:val="16"/>
        </w:rPr>
        <w:t>TRADUCTION</w:t>
      </w:r>
      <w:r w:rsidRPr="008C5E69">
        <w:rPr>
          <w:rFonts w:cs="Arial"/>
        </w:rPr>
        <w:t xml:space="preserve">] « tête du service ». </w:t>
      </w:r>
      <w:r w:rsidRPr="008C5E69">
        <w:rPr>
          <w:rFonts w:cs="Arial"/>
          <w:i/>
          <w:iCs/>
        </w:rPr>
        <w:t>Prosecution of Offences Act 1985</w:t>
      </w:r>
      <w:r w:rsidRPr="008C5E69">
        <w:rPr>
          <w:rFonts w:cs="Arial"/>
        </w:rPr>
        <w:t>, c.</w:t>
      </w:r>
      <w:r>
        <w:rPr>
          <w:rFonts w:cs="Arial"/>
        </w:rPr>
        <w:t> </w:t>
      </w:r>
      <w:r w:rsidRPr="008C5E69">
        <w:rPr>
          <w:rFonts w:cs="Arial"/>
        </w:rPr>
        <w:t>23, par.</w:t>
      </w:r>
      <w:r>
        <w:rPr>
          <w:rFonts w:cs="Arial"/>
        </w:rPr>
        <w:t> </w:t>
      </w:r>
      <w:r w:rsidRPr="008C5E69">
        <w:rPr>
          <w:rFonts w:cs="Arial"/>
        </w:rPr>
        <w:t>1(1). Le par</w:t>
      </w:r>
      <w:r>
        <w:rPr>
          <w:rFonts w:cs="Arial"/>
        </w:rPr>
        <w:t>. </w:t>
      </w:r>
      <w:r w:rsidRPr="008C5E69">
        <w:rPr>
          <w:rFonts w:cs="Arial"/>
        </w:rPr>
        <w:t>3(3) précise que le DPP exerce ses fonctions sous la surveillance (</w:t>
      </w:r>
      <w:r w:rsidRPr="008C5E69">
        <w:rPr>
          <w:rFonts w:cs="Arial"/>
          <w:i/>
          <w:iCs/>
        </w:rPr>
        <w:t>superintendence</w:t>
      </w:r>
      <w:r w:rsidRPr="008C5E69">
        <w:rPr>
          <w:rFonts w:cs="Arial"/>
        </w:rPr>
        <w:t xml:space="preserve">) du procureur général. </w:t>
      </w:r>
    </w:p>
  </w:footnote>
  <w:footnote w:id="22">
    <w:p w14:paraId="1C40E3D6" w14:textId="77777777" w:rsidR="005C67B6" w:rsidRPr="00B202B7" w:rsidRDefault="005C67B6" w:rsidP="005C67B6">
      <w:pPr>
        <w:pStyle w:val="Notedebasdepage"/>
        <w:rPr>
          <w:rFonts w:cs="Arial"/>
          <w:lang w:val="en-CA"/>
        </w:rPr>
      </w:pPr>
      <w:r w:rsidRPr="00FA6466">
        <w:rPr>
          <w:rStyle w:val="Appelnotedebasdep"/>
          <w:rFonts w:cs="Arial"/>
        </w:rPr>
        <w:footnoteRef/>
      </w:r>
      <w:r w:rsidRPr="00B202B7">
        <w:rPr>
          <w:rFonts w:cs="Arial"/>
          <w:lang w:val="en-CA"/>
        </w:rPr>
        <w:t xml:space="preserve"> </w:t>
      </w:r>
      <w:r w:rsidRPr="00B202B7">
        <w:rPr>
          <w:rFonts w:cs="Arial"/>
          <w:lang w:val="en-CA"/>
        </w:rPr>
        <w:tab/>
      </w:r>
      <w:r w:rsidRPr="00B202B7">
        <w:rPr>
          <w:rFonts w:cs="Arial"/>
          <w:i/>
          <w:iCs/>
          <w:lang w:val="en-CA"/>
        </w:rPr>
        <w:t>R. c. Varennes</w:t>
      </w:r>
      <w:r w:rsidRPr="00B202B7">
        <w:rPr>
          <w:rFonts w:cs="Arial"/>
          <w:lang w:val="en-CA"/>
        </w:rPr>
        <w:t>, 2025 CSC 22.</w:t>
      </w:r>
    </w:p>
  </w:footnote>
  <w:footnote w:id="23">
    <w:p w14:paraId="00715805" w14:textId="77777777" w:rsidR="005C67B6" w:rsidRPr="00FA6466" w:rsidRDefault="005C67B6" w:rsidP="005C67B6">
      <w:pPr>
        <w:pStyle w:val="Notedebasdepage"/>
        <w:rPr>
          <w:rFonts w:cs="Arial"/>
          <w:lang w:val="en-CA"/>
        </w:rPr>
      </w:pPr>
      <w:r w:rsidRPr="00FA6466">
        <w:rPr>
          <w:rStyle w:val="Appelnotedebasdep"/>
          <w:rFonts w:cs="Arial"/>
        </w:rPr>
        <w:footnoteRef/>
      </w:r>
      <w:r w:rsidRPr="00EB28CD">
        <w:rPr>
          <w:rFonts w:cs="Arial"/>
          <w:lang w:val="en-CA"/>
        </w:rPr>
        <w:t xml:space="preserve"> </w:t>
      </w:r>
      <w:r w:rsidRPr="00EB28CD">
        <w:rPr>
          <w:rFonts w:cs="Arial"/>
          <w:lang w:val="en-CA"/>
        </w:rPr>
        <w:tab/>
        <w:t xml:space="preserve">Voir Rosenberg, </w:t>
      </w:r>
      <w:r>
        <w:rPr>
          <w:rFonts w:cs="Arial"/>
          <w:lang w:val="en-CA"/>
        </w:rPr>
        <w:t xml:space="preserve">M., </w:t>
      </w:r>
      <w:r w:rsidRPr="00EB28CD">
        <w:rPr>
          <w:rFonts w:cs="Arial"/>
          <w:i/>
          <w:iCs/>
          <w:lang w:val="en-CA"/>
        </w:rPr>
        <w:t>The Attorney General and the Administration of Criminal Justice</w:t>
      </w:r>
      <w:r w:rsidRPr="00EB28CD">
        <w:rPr>
          <w:rFonts w:cs="Arial"/>
          <w:lang w:val="en-CA"/>
        </w:rPr>
        <w:t xml:space="preserve"> (2009) 34 Queen’s L.J. 813.</w:t>
      </w:r>
    </w:p>
  </w:footnote>
  <w:footnote w:id="24">
    <w:p w14:paraId="174A720A" w14:textId="77777777" w:rsidR="005C67B6" w:rsidRPr="00EB28CD" w:rsidRDefault="005C67B6" w:rsidP="005C67B6">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r>
      <w:r w:rsidRPr="008C5E69">
        <w:rPr>
          <w:rFonts w:cs="Arial"/>
          <w:i/>
          <w:iCs/>
        </w:rPr>
        <w:t>R. c. Cawthorne</w:t>
      </w:r>
      <w:r w:rsidRPr="008C5E69">
        <w:rPr>
          <w:rFonts w:cs="Arial"/>
        </w:rPr>
        <w:t xml:space="preserve">, 2016 CSC 32. Voir aussi </w:t>
      </w:r>
      <w:r w:rsidRPr="008C5E69">
        <w:rPr>
          <w:rFonts w:cs="Arial"/>
          <w:i/>
          <w:iCs/>
        </w:rPr>
        <w:t>R. c. Varennes</w:t>
      </w:r>
      <w:r w:rsidRPr="008C5E69">
        <w:rPr>
          <w:rFonts w:cs="Arial"/>
        </w:rPr>
        <w:t xml:space="preserve">, 2025 CSC 22, par. 42-44; </w:t>
      </w:r>
      <w:r w:rsidRPr="008C5E69">
        <w:rPr>
          <w:rFonts w:cs="Arial"/>
          <w:i/>
          <w:iCs/>
        </w:rPr>
        <w:t>Hinse c. Canada (Procureur général)</w:t>
      </w:r>
      <w:r w:rsidRPr="008C5E69">
        <w:rPr>
          <w:rFonts w:cs="Arial"/>
        </w:rPr>
        <w:t>, 2015 CSC 35, par. 40.</w:t>
      </w:r>
    </w:p>
  </w:footnote>
  <w:footnote w:id="25">
    <w:p w14:paraId="1E05A248" w14:textId="77777777" w:rsidR="005C67B6" w:rsidRPr="008C5E69" w:rsidRDefault="005C67B6" w:rsidP="005C67B6">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r>
      <w:r w:rsidRPr="008C5E69">
        <w:rPr>
          <w:rFonts w:cs="Arial"/>
          <w:i/>
          <w:iCs/>
        </w:rPr>
        <w:t>R. c. Anderson</w:t>
      </w:r>
      <w:r w:rsidRPr="008C5E69">
        <w:rPr>
          <w:rFonts w:cs="Arial"/>
        </w:rPr>
        <w:t xml:space="preserve">, 2014 CSC 41, par. 44 : </w:t>
      </w:r>
    </w:p>
    <w:p w14:paraId="592F6F6C" w14:textId="77777777" w:rsidR="005C67B6" w:rsidRPr="008C5E69" w:rsidRDefault="005C67B6" w:rsidP="005C67B6">
      <w:pPr>
        <w:pStyle w:val="Notedebasdepage"/>
        <w:ind w:left="731" w:firstLine="0"/>
        <w:rPr>
          <w:rFonts w:cs="Arial"/>
        </w:rPr>
      </w:pPr>
      <w:r w:rsidRPr="008C5E69">
        <w:rPr>
          <w:rFonts w:cs="Arial"/>
        </w:rPr>
        <w:t>[...] je crois que nous devons d’abord reconnaître que l’expression « pouvoir discrétionnaire en matière de poursuites » est une expression large qui renvoie à toutes « les décisions concernant la nature et l’étendue des poursuites ainsi que la participation du procureur général à celles-ci ». Comme notre Cour l’a fait remarquer à maintes reprises, « [l]e pouvoir discrétionnaire [en matière de poursuites] renvoie à la discrétion exercée par le procureur général dans les affaires qui relèvent de sa compétence relativement à la poursuite d’infractions criminelles ». Bien qu’il soit sans doute impossible de dresser une liste exhaustive des décisions qui relèvent de la nature et de l’étendue des poursuites, nous pouvons [citer en exemple] la décision d’interjeter appel. Toutes ces décisions ont trait à la nature et à l’étendue des poursuites. [Renvois omis]</w:t>
      </w:r>
    </w:p>
  </w:footnote>
  <w:footnote w:id="26">
    <w:p w14:paraId="0BD25A77" w14:textId="77777777" w:rsidR="005C67B6" w:rsidRPr="00EB28CD" w:rsidRDefault="005C67B6" w:rsidP="005C67B6">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t xml:space="preserve">Voir Directeur des poursuites criminelles et pénales, </w:t>
      </w:r>
      <w:r w:rsidRPr="008C5E69">
        <w:rPr>
          <w:rFonts w:cs="Arial"/>
          <w:i/>
          <w:iCs/>
        </w:rPr>
        <w:t>Les Origines et les fondements de l’institution du DPCP</w:t>
      </w:r>
      <w:r w:rsidRPr="008C5E69">
        <w:rPr>
          <w:rFonts w:cs="Arial"/>
        </w:rPr>
        <w:t xml:space="preserve"> (2022); Pierre Lapointe, « La Loi sur le directeur des poursuites criminelles et pénales », dans </w:t>
      </w:r>
      <w:r w:rsidRPr="008C5E69">
        <w:rPr>
          <w:rFonts w:cs="Arial"/>
          <w:i/>
          <w:iCs/>
        </w:rPr>
        <w:t xml:space="preserve">Développements récents en droit criminel, </w:t>
      </w:r>
      <w:r w:rsidRPr="008C5E69">
        <w:rPr>
          <w:rFonts w:cs="Arial"/>
        </w:rPr>
        <w:t>vol. 264, 2007, 99. Pour une vue d</w:t>
      </w:r>
      <w:r>
        <w:rPr>
          <w:rFonts w:cs="Arial"/>
        </w:rPr>
        <w:t>’</w:t>
      </w:r>
      <w:r w:rsidRPr="008C5E69">
        <w:rPr>
          <w:rFonts w:cs="Arial"/>
        </w:rPr>
        <w:t xml:space="preserve">ensemble du rôle du procureur général au Canada, voir </w:t>
      </w:r>
      <w:r w:rsidRPr="008C5E69">
        <w:rPr>
          <w:rFonts w:cs="Arial"/>
          <w:i/>
          <w:iCs/>
        </w:rPr>
        <w:t>Krieger c. Law Society of Alberta</w:t>
      </w:r>
      <w:r w:rsidRPr="008C5E69">
        <w:rPr>
          <w:rFonts w:cs="Arial"/>
        </w:rPr>
        <w:t>, 2002 CSC 65.</w:t>
      </w:r>
    </w:p>
  </w:footnote>
  <w:footnote w:id="27">
    <w:p w14:paraId="1FE54952" w14:textId="77777777" w:rsidR="005C67B6" w:rsidRPr="00EB28CD" w:rsidRDefault="005C67B6" w:rsidP="005C67B6">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t>Il est obligatoire d</w:t>
      </w:r>
      <w:r>
        <w:rPr>
          <w:rFonts w:cs="Arial"/>
        </w:rPr>
        <w:t>’</w:t>
      </w:r>
      <w:r w:rsidRPr="008C5E69">
        <w:rPr>
          <w:rFonts w:cs="Arial"/>
        </w:rPr>
        <w:t>être membre du Cabinet selon l</w:t>
      </w:r>
      <w:r>
        <w:rPr>
          <w:rFonts w:cs="Arial"/>
        </w:rPr>
        <w:t>’</w:t>
      </w:r>
      <w:r w:rsidRPr="008C5E69">
        <w:rPr>
          <w:rFonts w:cs="Arial"/>
        </w:rPr>
        <w:t xml:space="preserve">article 63 de la </w:t>
      </w:r>
      <w:r w:rsidRPr="008C5E69">
        <w:rPr>
          <w:rFonts w:cs="Arial"/>
          <w:i/>
          <w:iCs/>
        </w:rPr>
        <w:t>Loi constitutionnelle de 1867</w:t>
      </w:r>
      <w:r w:rsidRPr="008C5E69">
        <w:rPr>
          <w:rFonts w:cs="Arial"/>
        </w:rPr>
        <w:t>.</w:t>
      </w:r>
    </w:p>
  </w:footnote>
  <w:footnote w:id="28">
    <w:p w14:paraId="3A3A8A35" w14:textId="77777777" w:rsidR="005C67B6" w:rsidRPr="008C5E69" w:rsidRDefault="005C67B6" w:rsidP="005C67B6">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t xml:space="preserve">Pierre Lapointe, « La Loi sur le directeur des poursuites criminelles et pénales », dans </w:t>
      </w:r>
      <w:r w:rsidRPr="008C5E69">
        <w:rPr>
          <w:rFonts w:cs="Arial"/>
          <w:i/>
          <w:iCs/>
        </w:rPr>
        <w:t xml:space="preserve">Développements récents en droit criminel, </w:t>
      </w:r>
      <w:r w:rsidRPr="008C5E69">
        <w:rPr>
          <w:rFonts w:cs="Arial"/>
        </w:rPr>
        <w:t xml:space="preserve">vol. 264, 2007, 99, p.108. </w:t>
      </w:r>
    </w:p>
  </w:footnote>
  <w:footnote w:id="29">
    <w:p w14:paraId="72D4EEAA" w14:textId="77777777" w:rsidR="005C67B6" w:rsidRPr="00EB28CD" w:rsidRDefault="005C67B6" w:rsidP="005C67B6">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t>Article 1.</w:t>
      </w:r>
    </w:p>
  </w:footnote>
  <w:footnote w:id="30">
    <w:p w14:paraId="6DD4E0AC" w14:textId="77777777" w:rsidR="005C67B6" w:rsidRPr="00EB28CD" w:rsidRDefault="005C67B6" w:rsidP="005C67B6">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r>
      <w:r w:rsidRPr="008C5E69">
        <w:rPr>
          <w:rFonts w:cs="Arial"/>
          <w:i/>
          <w:iCs/>
        </w:rPr>
        <w:t>Loi sur le MJ</w:t>
      </w:r>
      <w:r w:rsidRPr="008C5E69">
        <w:rPr>
          <w:rFonts w:cs="Arial"/>
        </w:rPr>
        <w:t>, art. 3 al. c).</w:t>
      </w:r>
    </w:p>
  </w:footnote>
  <w:footnote w:id="31">
    <w:p w14:paraId="1ABC1C80" w14:textId="77777777" w:rsidR="005C67B6" w:rsidRPr="008C5E69" w:rsidRDefault="005C67B6" w:rsidP="005C67B6">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r>
      <w:r w:rsidRPr="008C5E69">
        <w:rPr>
          <w:rFonts w:cs="Arial"/>
          <w:i/>
          <w:iCs/>
        </w:rPr>
        <w:t>Québec (Procureur général) c. 9148-5847 inc.</w:t>
      </w:r>
      <w:r w:rsidRPr="008C5E69">
        <w:rPr>
          <w:rFonts w:cs="Arial"/>
        </w:rPr>
        <w:t xml:space="preserve">, 2012 QCCA 1362, par. 38. </w:t>
      </w:r>
    </w:p>
  </w:footnote>
  <w:footnote w:id="32">
    <w:p w14:paraId="3D9E1146" w14:textId="77777777" w:rsidR="005C67B6" w:rsidRPr="008C5E69" w:rsidRDefault="005C67B6" w:rsidP="005C67B6">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r>
      <w:r w:rsidRPr="008C5E69">
        <w:rPr>
          <w:rFonts w:cs="Arial"/>
          <w:i/>
          <w:iCs/>
        </w:rPr>
        <w:t>Ouellet c. R.</w:t>
      </w:r>
      <w:r w:rsidRPr="008C5E69">
        <w:rPr>
          <w:rFonts w:cs="Arial"/>
        </w:rPr>
        <w:t xml:space="preserve">, 2021 QCCA 386; </w:t>
      </w:r>
      <w:r w:rsidRPr="008C5E69">
        <w:rPr>
          <w:rFonts w:cs="Arial"/>
          <w:i/>
          <w:iCs/>
        </w:rPr>
        <w:t>R. c. Kyres</w:t>
      </w:r>
      <w:r w:rsidRPr="008C5E69">
        <w:rPr>
          <w:rFonts w:cs="Arial"/>
        </w:rPr>
        <w:t xml:space="preserve">, 2018 QCCS 4671; </w:t>
      </w:r>
      <w:r w:rsidRPr="008C5E69">
        <w:rPr>
          <w:rFonts w:cs="Arial"/>
          <w:i/>
          <w:iCs/>
        </w:rPr>
        <w:t>Québec (Procureur général) c. 9148-5847 inc.</w:t>
      </w:r>
      <w:r w:rsidRPr="008C5E69">
        <w:rPr>
          <w:rFonts w:cs="Arial"/>
        </w:rPr>
        <w:t>, 2012 QCCA 1362.</w:t>
      </w:r>
    </w:p>
  </w:footnote>
  <w:footnote w:id="33">
    <w:p w14:paraId="74097BCD" w14:textId="77777777" w:rsidR="005C67B6" w:rsidRPr="00EB28CD" w:rsidRDefault="005C67B6" w:rsidP="005C67B6">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r>
      <w:r w:rsidRPr="008C5E69">
        <w:rPr>
          <w:rFonts w:cs="Arial"/>
          <w:i/>
          <w:iCs/>
        </w:rPr>
        <w:t>Québec (Procureur général) c. Senneville,</w:t>
      </w:r>
      <w:r w:rsidRPr="008C5E69">
        <w:rPr>
          <w:rFonts w:cs="Arial"/>
        </w:rPr>
        <w:t xml:space="preserve"> 2025 CSC 33.</w:t>
      </w:r>
    </w:p>
  </w:footnote>
  <w:footnote w:id="34">
    <w:p w14:paraId="2ADF4B5B" w14:textId="77777777" w:rsidR="005C67B6" w:rsidRPr="00EB28CD" w:rsidRDefault="005C67B6" w:rsidP="005C67B6">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t xml:space="preserve">Les réponses à ces questions, </w:t>
      </w:r>
      <w:r>
        <w:rPr>
          <w:rFonts w:cs="Arial"/>
        </w:rPr>
        <w:t>si</w:t>
      </w:r>
      <w:r w:rsidRPr="008C5E69">
        <w:rPr>
          <w:rFonts w:cs="Arial"/>
        </w:rPr>
        <w:t xml:space="preserve"> le DPCP et le PGQ </w:t>
      </w:r>
      <w:r>
        <w:rPr>
          <w:rFonts w:cs="Arial"/>
        </w:rPr>
        <w:t>présentent</w:t>
      </w:r>
      <w:r w:rsidRPr="008C5E69">
        <w:rPr>
          <w:rFonts w:cs="Arial"/>
        </w:rPr>
        <w:t xml:space="preserve"> tous deux</w:t>
      </w:r>
      <w:r>
        <w:rPr>
          <w:rFonts w:cs="Arial"/>
        </w:rPr>
        <w:t xml:space="preserve"> des observations</w:t>
      </w:r>
      <w:r w:rsidRPr="008C5E69">
        <w:rPr>
          <w:rFonts w:cs="Arial"/>
        </w:rPr>
        <w:t>, peuvent s</w:t>
      </w:r>
      <w:r>
        <w:rPr>
          <w:rFonts w:cs="Arial"/>
        </w:rPr>
        <w:t>’</w:t>
      </w:r>
      <w:r w:rsidRPr="008C5E69">
        <w:rPr>
          <w:rFonts w:cs="Arial"/>
        </w:rPr>
        <w:t>articuler autour de diverses combinaisons: Oui-Oui, Non-Non, Oui-Non et Non-Oui.</w:t>
      </w:r>
    </w:p>
  </w:footnote>
  <w:footnote w:id="35">
    <w:p w14:paraId="535A9A7B" w14:textId="77777777" w:rsidR="005C67B6" w:rsidRPr="00EB28CD" w:rsidRDefault="005C67B6" w:rsidP="005C67B6">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t xml:space="preserve">P. ex., </w:t>
      </w:r>
      <w:r w:rsidRPr="008C5E69">
        <w:rPr>
          <w:rFonts w:cs="Arial"/>
          <w:i/>
          <w:iCs/>
        </w:rPr>
        <w:t>R. c Laba</w:t>
      </w:r>
      <w:r w:rsidRPr="008C5E69">
        <w:rPr>
          <w:rFonts w:cs="Arial"/>
        </w:rPr>
        <w:t xml:space="preserve">, [1994] 3 RCS 965 et </w:t>
      </w:r>
      <w:r w:rsidRPr="008C5E69">
        <w:rPr>
          <w:rFonts w:cs="Arial"/>
          <w:i/>
          <w:iCs/>
        </w:rPr>
        <w:t>R. c. Keegstra</w:t>
      </w:r>
      <w:r w:rsidRPr="008C5E69">
        <w:rPr>
          <w:rFonts w:cs="Arial"/>
        </w:rPr>
        <w:t>, [1995] 2 RCS 381.</w:t>
      </w:r>
    </w:p>
  </w:footnote>
  <w:footnote w:id="36">
    <w:p w14:paraId="55E531E8" w14:textId="77777777" w:rsidR="005C67B6" w:rsidRPr="008C5E69" w:rsidRDefault="005C67B6" w:rsidP="005C67B6">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r>
      <w:r w:rsidRPr="008C5E69">
        <w:rPr>
          <w:rFonts w:cs="Arial"/>
          <w:i/>
          <w:iCs/>
        </w:rPr>
        <w:t>R. c Laba</w:t>
      </w:r>
      <w:r w:rsidRPr="008C5E69">
        <w:rPr>
          <w:rFonts w:cs="Arial"/>
        </w:rPr>
        <w:t>, [1994] 3 RCS 965.</w:t>
      </w:r>
    </w:p>
  </w:footnote>
  <w:footnote w:id="37">
    <w:p w14:paraId="2D5936C4" w14:textId="77777777" w:rsidR="005C67B6" w:rsidRPr="00FA6466" w:rsidRDefault="005C67B6" w:rsidP="005C67B6">
      <w:pPr>
        <w:pStyle w:val="Notedebasdepage"/>
        <w:rPr>
          <w:rFonts w:cs="Arial"/>
        </w:rPr>
      </w:pPr>
      <w:r w:rsidRPr="00FA6466">
        <w:rPr>
          <w:rStyle w:val="Appelnotedebasdep"/>
          <w:rFonts w:cs="Arial"/>
        </w:rPr>
        <w:footnoteRef/>
      </w:r>
      <w:r w:rsidRPr="00FA6466">
        <w:rPr>
          <w:rFonts w:cs="Arial"/>
        </w:rPr>
        <w:t xml:space="preserve"> </w:t>
      </w:r>
      <w:r w:rsidRPr="00FA6466">
        <w:rPr>
          <w:rFonts w:cs="Arial"/>
        </w:rPr>
        <w:tab/>
      </w:r>
      <w:r w:rsidRPr="00FA6466">
        <w:rPr>
          <w:rFonts w:cs="Arial"/>
          <w:i/>
          <w:iCs/>
        </w:rPr>
        <w:t>R. c. Gagnon</w:t>
      </w:r>
      <w:r w:rsidRPr="00FA6466">
        <w:rPr>
          <w:rFonts w:cs="Arial"/>
        </w:rPr>
        <w:t>, 2024 QCCQ 1345, par. 7.</w:t>
      </w:r>
    </w:p>
  </w:footnote>
  <w:footnote w:id="38">
    <w:p w14:paraId="5296C4AF" w14:textId="77777777" w:rsidR="005C67B6" w:rsidRPr="00745CB7" w:rsidRDefault="005C67B6" w:rsidP="005C67B6">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r>
      <w:r w:rsidRPr="008C5E69">
        <w:rPr>
          <w:rFonts w:cs="Arial"/>
          <w:i/>
          <w:iCs/>
        </w:rPr>
        <w:t>Québec (procureur général) c. Senneville</w:t>
      </w:r>
      <w:r w:rsidRPr="008C5E69">
        <w:rPr>
          <w:rFonts w:cs="Arial"/>
        </w:rPr>
        <w:t xml:space="preserve">, 2025 CSC 33, en appel de </w:t>
      </w:r>
      <w:r w:rsidRPr="008C5E69">
        <w:rPr>
          <w:rFonts w:cs="Arial"/>
          <w:i/>
          <w:iCs/>
        </w:rPr>
        <w:t>Procureur général du Québec c. Terroux</w:t>
      </w:r>
      <w:r w:rsidRPr="008C5E69">
        <w:rPr>
          <w:rFonts w:cs="Arial"/>
        </w:rPr>
        <w:t xml:space="preserve">, 2023 QCCA 731. </w:t>
      </w:r>
    </w:p>
  </w:footnote>
  <w:footnote w:id="39">
    <w:p w14:paraId="7D045259" w14:textId="77777777" w:rsidR="005C67B6" w:rsidRPr="00745CB7" w:rsidRDefault="005C67B6" w:rsidP="005C67B6">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r>
      <w:r w:rsidRPr="008C5E69">
        <w:rPr>
          <w:rFonts w:cs="Arial"/>
          <w:i/>
          <w:iCs/>
        </w:rPr>
        <w:t>R. c. Friesen</w:t>
      </w:r>
      <w:r w:rsidRPr="008C5E69">
        <w:rPr>
          <w:rFonts w:cs="Arial"/>
        </w:rPr>
        <w:t xml:space="preserve">, 2020 CSC 9; Voir aussi </w:t>
      </w:r>
      <w:r w:rsidRPr="008C5E69">
        <w:rPr>
          <w:rFonts w:cs="Arial"/>
          <w:i/>
          <w:iCs/>
        </w:rPr>
        <w:t>R. c. Bertrand Marchand</w:t>
      </w:r>
      <w:r w:rsidRPr="008C5E69">
        <w:rPr>
          <w:rFonts w:cs="Arial"/>
        </w:rPr>
        <w:t xml:space="preserve">, 2023 CSC 26; </w:t>
      </w:r>
      <w:r w:rsidRPr="008C5E69">
        <w:rPr>
          <w:rFonts w:cs="Arial"/>
          <w:i/>
          <w:iCs/>
        </w:rPr>
        <w:t>R. c. Sheppard</w:t>
      </w:r>
      <w:r w:rsidRPr="008C5E69">
        <w:rPr>
          <w:rFonts w:cs="Arial"/>
        </w:rPr>
        <w:t xml:space="preserve">, 2025 CSC 29; Art. 718.01 </w:t>
      </w:r>
      <w:r w:rsidRPr="008C5E69">
        <w:rPr>
          <w:rFonts w:cs="Arial"/>
          <w:i/>
          <w:iCs/>
        </w:rPr>
        <w:t>C.cr</w:t>
      </w:r>
      <w:r w:rsidRPr="008C5E69">
        <w:rPr>
          <w:rFonts w:cs="Arial"/>
        </w:rPr>
        <w:t>. Voir également les modifications successives répertoriées dans l</w:t>
      </w:r>
      <w:r>
        <w:rPr>
          <w:rFonts w:cs="Arial"/>
        </w:rPr>
        <w:t>’</w:t>
      </w:r>
      <w:r w:rsidRPr="008C5E69">
        <w:rPr>
          <w:rFonts w:cs="Arial"/>
        </w:rPr>
        <w:t xml:space="preserve">opinion dissidente de </w:t>
      </w:r>
      <w:r w:rsidRPr="008C5E69">
        <w:rPr>
          <w:rFonts w:cs="Arial"/>
          <w:i/>
          <w:iCs/>
        </w:rPr>
        <w:t>Québec (Procureur général) c. Senneville</w:t>
      </w:r>
      <w:r w:rsidRPr="008C5E69">
        <w:rPr>
          <w:rFonts w:cs="Arial"/>
        </w:rPr>
        <w:t>, 2025 CSC 33 aux paragraphes 163-171.</w:t>
      </w:r>
    </w:p>
  </w:footnote>
  <w:footnote w:id="40">
    <w:p w14:paraId="29D82C4D" w14:textId="77777777" w:rsidR="005C67B6" w:rsidRPr="008C5E69" w:rsidRDefault="005C67B6" w:rsidP="005C67B6">
      <w:pPr>
        <w:pStyle w:val="Notedebasdepage"/>
        <w:rPr>
          <w:rFonts w:cs="Arial"/>
          <w:lang w:val="en-CA"/>
        </w:rPr>
      </w:pPr>
      <w:r w:rsidRPr="008C5E69">
        <w:rPr>
          <w:rStyle w:val="Appelnotedebasdep"/>
          <w:rFonts w:cs="Arial"/>
        </w:rPr>
        <w:footnoteRef/>
      </w:r>
      <w:r w:rsidRPr="00745CB7">
        <w:rPr>
          <w:rFonts w:cs="Arial"/>
          <w:lang w:val="en-CA"/>
        </w:rPr>
        <w:t xml:space="preserve"> </w:t>
      </w:r>
      <w:r w:rsidRPr="00745CB7">
        <w:rPr>
          <w:rFonts w:cs="Arial"/>
          <w:lang w:val="en-CA"/>
        </w:rPr>
        <w:tab/>
      </w:r>
      <w:r w:rsidRPr="00745CB7">
        <w:rPr>
          <w:rFonts w:cs="Arial"/>
          <w:i/>
          <w:iCs/>
          <w:lang w:val="en-CA"/>
        </w:rPr>
        <w:t>R. c. Hills</w:t>
      </w:r>
      <w:r w:rsidRPr="00745CB7">
        <w:rPr>
          <w:rFonts w:cs="Arial"/>
          <w:lang w:val="en-CA"/>
        </w:rPr>
        <w:t xml:space="preserve">, 2023 CSC 2; </w:t>
      </w:r>
      <w:r w:rsidRPr="00745CB7">
        <w:rPr>
          <w:rFonts w:cs="Arial"/>
          <w:i/>
          <w:iCs/>
          <w:lang w:val="en-CA"/>
        </w:rPr>
        <w:t>R. c. Hilbach</w:t>
      </w:r>
      <w:r w:rsidRPr="00745CB7">
        <w:rPr>
          <w:rFonts w:cs="Arial"/>
          <w:lang w:val="en-CA"/>
        </w:rPr>
        <w:t xml:space="preserve">, 2023 CSC 3; </w:t>
      </w:r>
      <w:r w:rsidRPr="00745CB7">
        <w:rPr>
          <w:rFonts w:cs="Arial"/>
          <w:i/>
          <w:iCs/>
          <w:lang w:val="en-CA"/>
        </w:rPr>
        <w:t>R. c.</w:t>
      </w:r>
      <w:r w:rsidRPr="00745CB7">
        <w:rPr>
          <w:rFonts w:cs="Arial"/>
          <w:lang w:val="en-CA"/>
        </w:rPr>
        <w:t xml:space="preserve"> </w:t>
      </w:r>
      <w:r w:rsidRPr="00745CB7">
        <w:rPr>
          <w:rFonts w:cs="Arial"/>
          <w:i/>
          <w:iCs/>
          <w:lang w:val="en-CA"/>
        </w:rPr>
        <w:t>Nur</w:t>
      </w:r>
      <w:r w:rsidRPr="00745CB7">
        <w:rPr>
          <w:rFonts w:cs="Arial"/>
          <w:lang w:val="en-CA"/>
        </w:rPr>
        <w:t>, 2015 CSC 15.</w:t>
      </w:r>
    </w:p>
  </w:footnote>
  <w:footnote w:id="41">
    <w:p w14:paraId="65284523" w14:textId="77777777" w:rsidR="005C67B6" w:rsidRPr="00745CB7" w:rsidRDefault="005C67B6" w:rsidP="005C67B6">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r>
      <w:r w:rsidRPr="008C5E69">
        <w:rPr>
          <w:rFonts w:cs="Arial"/>
          <w:i/>
          <w:iCs/>
        </w:rPr>
        <w:t>Québec (Procureur général) c. Senneville</w:t>
      </w:r>
      <w:r w:rsidRPr="008C5E69">
        <w:rPr>
          <w:rFonts w:cs="Arial"/>
        </w:rPr>
        <w:t>, 2025 CSC 33, par. 50.</w:t>
      </w:r>
    </w:p>
  </w:footnote>
  <w:footnote w:id="42">
    <w:p w14:paraId="54F12E46" w14:textId="77777777" w:rsidR="005C67B6" w:rsidRPr="00745CB7" w:rsidRDefault="005C67B6" w:rsidP="005C67B6">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r>
      <w:r w:rsidRPr="008C5E69">
        <w:rPr>
          <w:rFonts w:cs="Arial"/>
          <w:i/>
          <w:iCs/>
        </w:rPr>
        <w:t xml:space="preserve">Québec (Procureur général) c. </w:t>
      </w:r>
      <w:r w:rsidRPr="00600173">
        <w:rPr>
          <w:rFonts w:cs="Arial"/>
          <w:i/>
          <w:iCs/>
        </w:rPr>
        <w:t>Senneville</w:t>
      </w:r>
      <w:r w:rsidRPr="008C5E69">
        <w:rPr>
          <w:rFonts w:cs="Arial"/>
        </w:rPr>
        <w:t>, 2025 CSC 33, par. 83.</w:t>
      </w:r>
    </w:p>
  </w:footnote>
  <w:footnote w:id="43">
    <w:p w14:paraId="4389161C" w14:textId="77777777" w:rsidR="005C67B6" w:rsidRPr="008C5E69" w:rsidRDefault="005C67B6" w:rsidP="005C67B6">
      <w:pPr>
        <w:pStyle w:val="Notedebasdepage"/>
        <w:rPr>
          <w:rFonts w:cs="Arial"/>
          <w:lang w:val="en-CA"/>
        </w:rPr>
      </w:pPr>
      <w:r w:rsidRPr="008C5E69">
        <w:rPr>
          <w:rStyle w:val="Appelnotedebasdep"/>
          <w:rFonts w:cs="Arial"/>
        </w:rPr>
        <w:footnoteRef/>
      </w:r>
      <w:r w:rsidRPr="00745CB7">
        <w:rPr>
          <w:rFonts w:cs="Arial"/>
          <w:lang w:val="en-CA"/>
        </w:rPr>
        <w:t xml:space="preserve"> </w:t>
      </w:r>
      <w:r w:rsidRPr="00745CB7">
        <w:rPr>
          <w:rFonts w:cs="Arial"/>
          <w:lang w:val="en-CA"/>
        </w:rPr>
        <w:tab/>
      </w:r>
      <w:r w:rsidRPr="00745CB7">
        <w:rPr>
          <w:rFonts w:cs="Arial"/>
          <w:i/>
          <w:iCs/>
          <w:lang w:val="en-CA"/>
        </w:rPr>
        <w:t>R. v. John</w:t>
      </w:r>
      <w:r w:rsidRPr="00745CB7">
        <w:rPr>
          <w:rFonts w:cs="Arial"/>
          <w:lang w:val="en-CA"/>
        </w:rPr>
        <w:t>, 2018 ONCA 306.</w:t>
      </w:r>
    </w:p>
  </w:footnote>
  <w:footnote w:id="44">
    <w:p w14:paraId="7D221279" w14:textId="77777777" w:rsidR="005C67B6" w:rsidRPr="008C5E69" w:rsidRDefault="005C67B6" w:rsidP="005C67B6">
      <w:pPr>
        <w:pStyle w:val="Notedebasdepage"/>
        <w:rPr>
          <w:rFonts w:cs="Arial"/>
          <w:lang w:val="en-CA"/>
        </w:rPr>
      </w:pPr>
      <w:r w:rsidRPr="008C5E69">
        <w:rPr>
          <w:rStyle w:val="Appelnotedebasdep"/>
          <w:rFonts w:cs="Arial"/>
        </w:rPr>
        <w:footnoteRef/>
      </w:r>
      <w:r w:rsidRPr="00745CB7">
        <w:rPr>
          <w:rFonts w:cs="Arial"/>
          <w:lang w:val="en-CA"/>
        </w:rPr>
        <w:t xml:space="preserve"> </w:t>
      </w:r>
      <w:r w:rsidRPr="00745CB7">
        <w:rPr>
          <w:rFonts w:cs="Arial"/>
          <w:lang w:val="en-CA"/>
        </w:rPr>
        <w:tab/>
      </w:r>
      <w:r w:rsidRPr="00745CB7">
        <w:rPr>
          <w:rFonts w:cs="Arial"/>
          <w:i/>
          <w:iCs/>
          <w:lang w:val="en-CA"/>
        </w:rPr>
        <w:t>R. c. Bertrand Marchand</w:t>
      </w:r>
      <w:r w:rsidRPr="00745CB7">
        <w:rPr>
          <w:rFonts w:cs="Arial"/>
          <w:lang w:val="en-CA"/>
        </w:rPr>
        <w:t>, 2023 CSC 26.</w:t>
      </w:r>
    </w:p>
  </w:footnote>
  <w:footnote w:id="45">
    <w:p w14:paraId="1F2BB826" w14:textId="77777777" w:rsidR="005C67B6" w:rsidRPr="00745CB7" w:rsidRDefault="005C67B6" w:rsidP="005C67B6">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t xml:space="preserve">Malgré des indications à cet effet dans les jugements auxquels elle se réfère, dont notamment </w:t>
      </w:r>
      <w:r w:rsidRPr="008C5E69">
        <w:rPr>
          <w:rFonts w:cs="Arial"/>
          <w:i/>
          <w:iCs/>
        </w:rPr>
        <w:t>R. c. Hills</w:t>
      </w:r>
      <w:r w:rsidRPr="008C5E69">
        <w:rPr>
          <w:rFonts w:cs="Arial"/>
        </w:rPr>
        <w:t xml:space="preserve">, 2023 CSC 2, </w:t>
      </w:r>
      <w:r w:rsidRPr="008C5E69">
        <w:rPr>
          <w:rFonts w:cs="Arial"/>
          <w:i/>
          <w:iCs/>
        </w:rPr>
        <w:t>R. c. Hilbach</w:t>
      </w:r>
      <w:r w:rsidRPr="008C5E69">
        <w:rPr>
          <w:rFonts w:cs="Arial"/>
        </w:rPr>
        <w:t xml:space="preserve">, 2023 CSC 23 et </w:t>
      </w:r>
      <w:r w:rsidRPr="008C5E69">
        <w:rPr>
          <w:rFonts w:cs="Arial"/>
          <w:i/>
          <w:iCs/>
        </w:rPr>
        <w:t>R. c. Nur</w:t>
      </w:r>
      <w:r w:rsidRPr="008C5E69">
        <w:rPr>
          <w:rFonts w:cs="Arial"/>
        </w:rPr>
        <w:t xml:space="preserve">, 2015 CSC 15. Voir aussi </w:t>
      </w:r>
      <w:r w:rsidRPr="008C5E69">
        <w:rPr>
          <w:rFonts w:cs="Arial"/>
          <w:i/>
          <w:iCs/>
        </w:rPr>
        <w:t>R.</w:t>
      </w:r>
      <w:r w:rsidRPr="008C5E69">
        <w:rPr>
          <w:rFonts w:cs="Arial"/>
        </w:rPr>
        <w:t xml:space="preserve"> </w:t>
      </w:r>
      <w:r w:rsidRPr="008C5E69">
        <w:rPr>
          <w:rFonts w:cs="Arial"/>
          <w:i/>
          <w:iCs/>
        </w:rPr>
        <w:t>c. Lloyd</w:t>
      </w:r>
      <w:r w:rsidRPr="008C5E69">
        <w:rPr>
          <w:rFonts w:cs="Arial"/>
        </w:rPr>
        <w:t>, 2016 CSC 13.</w:t>
      </w:r>
    </w:p>
  </w:footnote>
  <w:footnote w:id="46">
    <w:p w14:paraId="6B445DF2" w14:textId="77777777" w:rsidR="005C67B6" w:rsidRPr="00745CB7" w:rsidRDefault="005C67B6" w:rsidP="005C67B6">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r>
      <w:r w:rsidRPr="008C5E69">
        <w:rPr>
          <w:rFonts w:cs="Arial"/>
          <w:i/>
          <w:iCs/>
        </w:rPr>
        <w:t>R. c. Gagnon</w:t>
      </w:r>
      <w:r w:rsidRPr="008C5E69">
        <w:rPr>
          <w:rFonts w:cs="Arial"/>
        </w:rPr>
        <w:t>, 2024 QCCQ 1345, par. 1.</w:t>
      </w:r>
    </w:p>
  </w:footnote>
  <w:footnote w:id="47">
    <w:p w14:paraId="38D50C71" w14:textId="77777777" w:rsidR="005C67B6" w:rsidRPr="008C5E69" w:rsidRDefault="005C67B6" w:rsidP="005C67B6">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r>
      <w:r w:rsidRPr="008C5E69">
        <w:rPr>
          <w:rFonts w:cs="Arial"/>
          <w:i/>
          <w:iCs/>
        </w:rPr>
        <w:t>R. c. Gagnon</w:t>
      </w:r>
      <w:r w:rsidRPr="008C5E69">
        <w:rPr>
          <w:rFonts w:cs="Arial"/>
        </w:rPr>
        <w:t>, 2024 QCCQ 1345, par. 76-77.</w:t>
      </w:r>
    </w:p>
  </w:footnote>
  <w:footnote w:id="48">
    <w:p w14:paraId="604B2AE2" w14:textId="77777777" w:rsidR="005C67B6" w:rsidRPr="00F55D99" w:rsidRDefault="005C67B6" w:rsidP="005C67B6">
      <w:pPr>
        <w:pStyle w:val="Notedebasdepage"/>
        <w:rPr>
          <w:rFonts w:cs="Arial"/>
        </w:rPr>
      </w:pPr>
      <w:r w:rsidRPr="00F55D99">
        <w:rPr>
          <w:rStyle w:val="Appelnotedebasdep"/>
          <w:rFonts w:cs="Arial"/>
        </w:rPr>
        <w:footnoteRef/>
      </w:r>
      <w:r w:rsidRPr="00F55D99">
        <w:rPr>
          <w:rFonts w:cs="Arial"/>
        </w:rPr>
        <w:t xml:space="preserve"> </w:t>
      </w:r>
      <w:r w:rsidRPr="00F55D99">
        <w:rPr>
          <w:rFonts w:cs="Arial"/>
        </w:rPr>
        <w:tab/>
      </w:r>
      <w:r w:rsidRPr="00F55D99">
        <w:rPr>
          <w:rFonts w:cs="Arial"/>
          <w:i/>
          <w:iCs/>
        </w:rPr>
        <w:t>R. c. Gagnon</w:t>
      </w:r>
      <w:r w:rsidRPr="00F55D99">
        <w:rPr>
          <w:rFonts w:cs="Arial"/>
        </w:rPr>
        <w:t>, 2024 QCCQ 1345, par. 87.</w:t>
      </w:r>
    </w:p>
  </w:footnote>
  <w:footnote w:id="49">
    <w:p w14:paraId="3EB90628" w14:textId="77777777" w:rsidR="005C67B6" w:rsidRPr="00F55D99" w:rsidRDefault="005C67B6" w:rsidP="005C67B6">
      <w:pPr>
        <w:pStyle w:val="Notedebasdepage"/>
        <w:rPr>
          <w:rFonts w:cs="Arial"/>
        </w:rPr>
      </w:pPr>
      <w:r w:rsidRPr="00F55D99">
        <w:rPr>
          <w:rStyle w:val="Appelnotedebasdep"/>
          <w:rFonts w:cs="Arial"/>
        </w:rPr>
        <w:footnoteRef/>
      </w:r>
      <w:r w:rsidRPr="00F55D99">
        <w:rPr>
          <w:rFonts w:cs="Arial"/>
        </w:rPr>
        <w:t xml:space="preserve"> </w:t>
      </w:r>
      <w:r w:rsidRPr="00F55D99">
        <w:rPr>
          <w:rFonts w:cs="Arial"/>
        </w:rPr>
        <w:tab/>
      </w:r>
      <w:r w:rsidRPr="00F55D99">
        <w:rPr>
          <w:rFonts w:cs="Arial"/>
          <w:i/>
          <w:iCs/>
        </w:rPr>
        <w:t>R. c. Gagnon</w:t>
      </w:r>
      <w:r w:rsidRPr="00F55D99">
        <w:rPr>
          <w:rFonts w:cs="Arial"/>
        </w:rPr>
        <w:t>, 2024 QCCQ 1345, par. 74-75</w:t>
      </w:r>
    </w:p>
  </w:footnote>
  <w:footnote w:id="50">
    <w:p w14:paraId="5B2DEF24" w14:textId="77777777" w:rsidR="005C67B6" w:rsidRPr="00F55D99" w:rsidRDefault="005C67B6" w:rsidP="005C67B6">
      <w:pPr>
        <w:pStyle w:val="Notedebasdepage"/>
        <w:rPr>
          <w:rFonts w:cs="Arial"/>
        </w:rPr>
      </w:pPr>
      <w:r w:rsidRPr="00F55D99">
        <w:rPr>
          <w:rStyle w:val="Appelnotedebasdep"/>
          <w:rFonts w:cs="Arial"/>
        </w:rPr>
        <w:footnoteRef/>
      </w:r>
      <w:r w:rsidRPr="00F55D99">
        <w:rPr>
          <w:rFonts w:cs="Arial"/>
        </w:rPr>
        <w:t xml:space="preserve"> </w:t>
      </w:r>
      <w:r w:rsidRPr="00F55D99">
        <w:rPr>
          <w:rFonts w:cs="Arial"/>
        </w:rPr>
        <w:tab/>
      </w:r>
      <w:r w:rsidRPr="00F55D99">
        <w:rPr>
          <w:rFonts w:cs="Arial"/>
          <w:i/>
          <w:iCs/>
        </w:rPr>
        <w:t>R. c. Gagnon</w:t>
      </w:r>
      <w:r w:rsidRPr="00F55D99">
        <w:rPr>
          <w:rFonts w:cs="Arial"/>
        </w:rPr>
        <w:t>, 2024 QCCQ 1345, par. 78-79.</w:t>
      </w:r>
    </w:p>
  </w:footnote>
  <w:footnote w:id="51">
    <w:p w14:paraId="0C3C2447" w14:textId="77777777" w:rsidR="005C67B6" w:rsidRPr="00745CB7" w:rsidRDefault="005C67B6" w:rsidP="005C67B6">
      <w:pPr>
        <w:pStyle w:val="Notedebasdepage"/>
        <w:rPr>
          <w:rFonts w:cs="Arial"/>
        </w:rPr>
      </w:pPr>
      <w:r w:rsidRPr="00F55D99">
        <w:rPr>
          <w:rStyle w:val="Appelnotedebasdep"/>
          <w:rFonts w:cs="Arial"/>
        </w:rPr>
        <w:footnoteRef/>
      </w:r>
      <w:r w:rsidRPr="00F55D99">
        <w:rPr>
          <w:rFonts w:cs="Arial"/>
        </w:rPr>
        <w:t xml:space="preserve"> </w:t>
      </w:r>
      <w:r w:rsidRPr="00F55D99">
        <w:rPr>
          <w:rFonts w:cs="Arial"/>
        </w:rPr>
        <w:tab/>
        <w:t xml:space="preserve">Voir </w:t>
      </w:r>
      <w:r w:rsidRPr="00F55D99">
        <w:rPr>
          <w:rFonts w:cs="Arial"/>
          <w:i/>
          <w:iCs/>
        </w:rPr>
        <w:t>Québec (Procureur général) c. Senneville</w:t>
      </w:r>
      <w:r w:rsidRPr="00F55D99">
        <w:rPr>
          <w:rFonts w:cs="Arial"/>
        </w:rPr>
        <w:t>, 2025 CSC 33, par. 88.</w:t>
      </w:r>
    </w:p>
  </w:footnote>
  <w:footnote w:id="52">
    <w:p w14:paraId="7A48765B" w14:textId="77777777" w:rsidR="005C67B6" w:rsidRPr="00F55D99" w:rsidRDefault="005C67B6" w:rsidP="005C67B6">
      <w:pPr>
        <w:pStyle w:val="Notedebasdepage"/>
        <w:rPr>
          <w:rFonts w:cs="Arial"/>
        </w:rPr>
      </w:pPr>
      <w:r w:rsidRPr="00F55D99">
        <w:rPr>
          <w:rStyle w:val="Appelnotedebasdep"/>
          <w:rFonts w:cs="Arial"/>
        </w:rPr>
        <w:footnoteRef/>
      </w:r>
      <w:r w:rsidRPr="00F55D99">
        <w:rPr>
          <w:rFonts w:cs="Arial"/>
        </w:rPr>
        <w:t xml:space="preserve"> </w:t>
      </w:r>
      <w:r w:rsidRPr="00F55D99">
        <w:rPr>
          <w:rFonts w:cs="Arial"/>
        </w:rPr>
        <w:tab/>
      </w:r>
      <w:r w:rsidRPr="00F55D99">
        <w:rPr>
          <w:rFonts w:cs="Arial"/>
          <w:i/>
          <w:iCs/>
        </w:rPr>
        <w:t>R. c. Hills</w:t>
      </w:r>
      <w:r w:rsidRPr="00F55D99">
        <w:rPr>
          <w:rFonts w:cs="Arial"/>
        </w:rPr>
        <w:t xml:space="preserve">, 2023 CSC 2, par. 123 et s. </w:t>
      </w:r>
    </w:p>
  </w:footnote>
  <w:footnote w:id="53">
    <w:p w14:paraId="48F17499" w14:textId="77777777" w:rsidR="005C67B6" w:rsidRPr="00745CB7" w:rsidRDefault="005C67B6" w:rsidP="005C67B6">
      <w:pPr>
        <w:pStyle w:val="Notedebasdepage"/>
        <w:rPr>
          <w:rFonts w:cs="Arial"/>
        </w:rPr>
      </w:pPr>
      <w:r w:rsidRPr="00F55D99">
        <w:rPr>
          <w:rStyle w:val="Appelnotedebasdep"/>
          <w:rFonts w:cs="Arial"/>
        </w:rPr>
        <w:footnoteRef/>
      </w:r>
      <w:r w:rsidRPr="00F55D99">
        <w:rPr>
          <w:rFonts w:cs="Arial"/>
        </w:rPr>
        <w:t xml:space="preserve"> </w:t>
      </w:r>
      <w:r w:rsidRPr="00F55D99">
        <w:rPr>
          <w:rFonts w:cs="Arial"/>
        </w:rPr>
        <w:tab/>
      </w:r>
      <w:r w:rsidRPr="00F55D99">
        <w:rPr>
          <w:rFonts w:cs="Arial"/>
          <w:i/>
          <w:iCs/>
        </w:rPr>
        <w:t>Québec (Procureur général) c. Senneville</w:t>
      </w:r>
      <w:r w:rsidRPr="00F55D99">
        <w:rPr>
          <w:rFonts w:cs="Arial"/>
        </w:rPr>
        <w:t>, 2025 CSC 33, par. 104</w:t>
      </w:r>
      <w:r>
        <w:rPr>
          <w:rFonts w:cs="Arial"/>
        </w:rPr>
        <w:t>.</w:t>
      </w:r>
    </w:p>
  </w:footnote>
  <w:footnote w:id="54">
    <w:p w14:paraId="7212EF04" w14:textId="77777777" w:rsidR="005C67B6" w:rsidRPr="00745CB7" w:rsidRDefault="005C67B6" w:rsidP="005C67B6">
      <w:pPr>
        <w:pStyle w:val="Notedebasdepage"/>
        <w:rPr>
          <w:rFonts w:cs="Arial"/>
        </w:rPr>
      </w:pPr>
      <w:r w:rsidRPr="00F55D99">
        <w:rPr>
          <w:rStyle w:val="Appelnotedebasdep"/>
          <w:rFonts w:cs="Arial"/>
        </w:rPr>
        <w:footnoteRef/>
      </w:r>
      <w:r w:rsidRPr="00F55D99">
        <w:rPr>
          <w:rFonts w:cs="Arial"/>
        </w:rPr>
        <w:t xml:space="preserve"> </w:t>
      </w:r>
      <w:r w:rsidRPr="00F55D99">
        <w:rPr>
          <w:rFonts w:cs="Arial"/>
        </w:rPr>
        <w:tab/>
        <w:t xml:space="preserve">La formulation est inspirée de celle de </w:t>
      </w:r>
      <w:r w:rsidRPr="00F55D99">
        <w:rPr>
          <w:rFonts w:cs="Arial"/>
          <w:i/>
          <w:iCs/>
        </w:rPr>
        <w:t>R. c. Parranto</w:t>
      </w:r>
      <w:r w:rsidRPr="00F55D99">
        <w:rPr>
          <w:rFonts w:cs="Arial"/>
        </w:rPr>
        <w:t xml:space="preserve">, 2021 CSC 46, par. 36, citée par la majorité dans </w:t>
      </w:r>
      <w:r w:rsidRPr="00F55D99">
        <w:rPr>
          <w:rFonts w:cs="Arial"/>
          <w:i/>
          <w:iCs/>
        </w:rPr>
        <w:t>Québec (Procureur général) c. Senneville</w:t>
      </w:r>
      <w:r w:rsidRPr="00F55D99">
        <w:rPr>
          <w:rFonts w:cs="Arial"/>
        </w:rPr>
        <w:t>, 2025 CSC 33, par. 1.</w:t>
      </w:r>
    </w:p>
  </w:footnote>
  <w:footnote w:id="55">
    <w:p w14:paraId="5B6859B2" w14:textId="77777777" w:rsidR="005C67B6" w:rsidRPr="00745CB7" w:rsidRDefault="005C67B6" w:rsidP="005C67B6">
      <w:pPr>
        <w:pStyle w:val="Notedebasdepage"/>
        <w:rPr>
          <w:rFonts w:cs="Arial"/>
        </w:rPr>
      </w:pPr>
      <w:r w:rsidRPr="00F55D99">
        <w:rPr>
          <w:rStyle w:val="Appelnotedebasdep"/>
          <w:rFonts w:cs="Arial"/>
        </w:rPr>
        <w:footnoteRef/>
      </w:r>
      <w:r w:rsidRPr="00F55D99">
        <w:rPr>
          <w:rFonts w:cs="Arial"/>
        </w:rPr>
        <w:t xml:space="preserve"> </w:t>
      </w:r>
      <w:r w:rsidRPr="00F55D99">
        <w:rPr>
          <w:rFonts w:cs="Arial"/>
        </w:rPr>
        <w:tab/>
      </w:r>
      <w:r w:rsidRPr="00F55D99">
        <w:rPr>
          <w:rFonts w:cs="Arial"/>
          <w:i/>
          <w:iCs/>
        </w:rPr>
        <w:t>Québec (Procureur général) c. Senneville</w:t>
      </w:r>
      <w:r w:rsidRPr="00F55D99">
        <w:rPr>
          <w:rFonts w:cs="Arial"/>
        </w:rPr>
        <w:t>, 2025 CSC 33.</w:t>
      </w:r>
    </w:p>
  </w:footnote>
  <w:footnote w:id="56">
    <w:p w14:paraId="4D45FB92" w14:textId="77777777" w:rsidR="005C67B6" w:rsidRPr="00745CB7" w:rsidRDefault="005C67B6" w:rsidP="005C67B6">
      <w:pPr>
        <w:pStyle w:val="Notedebasdepage"/>
        <w:rPr>
          <w:rFonts w:cs="Arial"/>
        </w:rPr>
      </w:pPr>
      <w:r w:rsidRPr="00F55D99">
        <w:rPr>
          <w:rStyle w:val="Appelnotedebasdep"/>
          <w:rFonts w:cs="Arial"/>
        </w:rPr>
        <w:footnoteRef/>
      </w:r>
      <w:r w:rsidRPr="00F55D99">
        <w:rPr>
          <w:rFonts w:cs="Arial"/>
        </w:rPr>
        <w:t xml:space="preserve"> </w:t>
      </w:r>
      <w:r w:rsidRPr="00F55D99">
        <w:rPr>
          <w:rFonts w:cs="Arial"/>
        </w:rPr>
        <w:tab/>
        <w:t xml:space="preserve">Voir, p.ex., le survol des peines infligées en la matière présenté dans </w:t>
      </w:r>
      <w:r w:rsidRPr="00F55D99">
        <w:rPr>
          <w:rFonts w:cs="Arial"/>
          <w:i/>
          <w:iCs/>
        </w:rPr>
        <w:t>R. c. Lambert</w:t>
      </w:r>
      <w:r w:rsidRPr="00F55D99">
        <w:rPr>
          <w:rFonts w:cs="Arial"/>
        </w:rPr>
        <w:t xml:space="preserve">, 2025 QCCQ 4247; </w:t>
      </w:r>
      <w:r w:rsidRPr="00F55D99">
        <w:rPr>
          <w:rFonts w:cs="Arial"/>
          <w:i/>
          <w:iCs/>
        </w:rPr>
        <w:t>R. c. Charlebois</w:t>
      </w:r>
      <w:r w:rsidRPr="00F55D99">
        <w:rPr>
          <w:rFonts w:cs="Arial"/>
        </w:rPr>
        <w:t xml:space="preserve">, 2024 QCCQ 6772; </w:t>
      </w:r>
      <w:r w:rsidRPr="00F55D99">
        <w:rPr>
          <w:rFonts w:cs="Arial"/>
          <w:i/>
          <w:iCs/>
        </w:rPr>
        <w:t>R. c. Laganière</w:t>
      </w:r>
      <w:r w:rsidRPr="00F55D99">
        <w:rPr>
          <w:rFonts w:cs="Arial"/>
        </w:rPr>
        <w:t xml:space="preserve">, 2024 QCCQ 7655; </w:t>
      </w:r>
      <w:r w:rsidRPr="00F55D99">
        <w:rPr>
          <w:rFonts w:cs="Arial"/>
          <w:i/>
          <w:iCs/>
        </w:rPr>
        <w:t>R. c. R.B.</w:t>
      </w:r>
      <w:r w:rsidRPr="00F55D99">
        <w:rPr>
          <w:rFonts w:cs="Arial"/>
        </w:rPr>
        <w:t xml:space="preserve">, 2024 QCCQ 1247. </w:t>
      </w:r>
    </w:p>
  </w:footnote>
  <w:footnote w:id="57">
    <w:p w14:paraId="10D0FE30" w14:textId="77777777" w:rsidR="005C67B6" w:rsidRPr="00F55D99" w:rsidRDefault="005C67B6" w:rsidP="005C67B6">
      <w:pPr>
        <w:pStyle w:val="Notedebasdepage"/>
        <w:rPr>
          <w:rFonts w:cs="Arial"/>
        </w:rPr>
      </w:pPr>
      <w:r w:rsidRPr="00F55D99">
        <w:rPr>
          <w:rStyle w:val="Appelnotedebasdep"/>
          <w:rFonts w:cs="Arial"/>
        </w:rPr>
        <w:footnoteRef/>
      </w:r>
      <w:r w:rsidRPr="00F55D99">
        <w:rPr>
          <w:rFonts w:cs="Arial"/>
        </w:rPr>
        <w:t xml:space="preserve"> </w:t>
      </w:r>
      <w:r w:rsidRPr="00F55D99">
        <w:rPr>
          <w:rFonts w:cs="Arial"/>
        </w:rPr>
        <w:tab/>
      </w:r>
      <w:r w:rsidRPr="00F55D99">
        <w:rPr>
          <w:rFonts w:cs="Arial"/>
          <w:i/>
          <w:iCs/>
        </w:rPr>
        <w:t>R. c. Laganière,</w:t>
      </w:r>
      <w:r w:rsidRPr="00F55D99">
        <w:rPr>
          <w:rFonts w:cs="Arial"/>
        </w:rPr>
        <w:t xml:space="preserve"> 2024 QCCQ 7655. </w:t>
      </w:r>
    </w:p>
  </w:footnote>
  <w:footnote w:id="58">
    <w:p w14:paraId="3CB42B5D" w14:textId="77777777" w:rsidR="005C67B6" w:rsidRPr="00745CB7" w:rsidRDefault="005C67B6" w:rsidP="005C67B6">
      <w:pPr>
        <w:pStyle w:val="Notedebasdepage"/>
        <w:rPr>
          <w:rFonts w:cs="Arial"/>
        </w:rPr>
      </w:pPr>
      <w:r w:rsidRPr="00F55D99">
        <w:rPr>
          <w:rStyle w:val="Appelnotedebasdep"/>
          <w:rFonts w:cs="Arial"/>
        </w:rPr>
        <w:footnoteRef/>
      </w:r>
      <w:r w:rsidRPr="00F55D99">
        <w:rPr>
          <w:rFonts w:cs="Arial"/>
        </w:rPr>
        <w:t xml:space="preserve"> </w:t>
      </w:r>
      <w:r w:rsidRPr="00F55D99">
        <w:rPr>
          <w:rFonts w:cs="Arial"/>
        </w:rPr>
        <w:tab/>
        <w:t>Voir</w:t>
      </w:r>
      <w:r w:rsidRPr="00F55D99">
        <w:rPr>
          <w:rFonts w:cs="Arial"/>
          <w:i/>
          <w:iCs/>
        </w:rPr>
        <w:t xml:space="preserve"> R. c. Friesen</w:t>
      </w:r>
      <w:r w:rsidRPr="00F55D99">
        <w:rPr>
          <w:rFonts w:cs="Arial"/>
        </w:rPr>
        <w:t xml:space="preserve">, 2020 CSC 9, paragr. 5. Avant </w:t>
      </w:r>
      <w:r w:rsidRPr="00F55D99">
        <w:rPr>
          <w:rFonts w:cs="Arial"/>
          <w:i/>
          <w:iCs/>
        </w:rPr>
        <w:t>Friesen</w:t>
      </w:r>
      <w:r w:rsidRPr="00F55D99">
        <w:rPr>
          <w:rFonts w:cs="Arial"/>
        </w:rPr>
        <w:t xml:space="preserve">, voir </w:t>
      </w:r>
      <w:r w:rsidRPr="00F55D99">
        <w:rPr>
          <w:rFonts w:cs="Arial"/>
          <w:i/>
          <w:iCs/>
        </w:rPr>
        <w:t>R. c. Régnier</w:t>
      </w:r>
      <w:r w:rsidRPr="00F55D99">
        <w:rPr>
          <w:rFonts w:cs="Arial"/>
        </w:rPr>
        <w:t xml:space="preserve">, 2018 QCCA 306; </w:t>
      </w:r>
      <w:r w:rsidRPr="00F55D99">
        <w:rPr>
          <w:rFonts w:cs="Arial"/>
          <w:i/>
          <w:iCs/>
        </w:rPr>
        <w:t>Ibrahim c. R.</w:t>
      </w:r>
      <w:r w:rsidRPr="00F55D99">
        <w:rPr>
          <w:rFonts w:cs="Arial"/>
        </w:rPr>
        <w:t xml:space="preserve">, 2018 QCCA 1205; après </w:t>
      </w:r>
      <w:r w:rsidRPr="00F55D99">
        <w:rPr>
          <w:rFonts w:cs="Arial"/>
          <w:i/>
          <w:iCs/>
        </w:rPr>
        <w:t>Friesen</w:t>
      </w:r>
      <w:r w:rsidRPr="00F55D99">
        <w:rPr>
          <w:rFonts w:cs="Arial"/>
        </w:rPr>
        <w:t xml:space="preserve">, voir </w:t>
      </w:r>
      <w:r w:rsidRPr="00F55D99">
        <w:rPr>
          <w:rFonts w:cs="Arial"/>
          <w:i/>
          <w:iCs/>
        </w:rPr>
        <w:t>R. c. Daudelin</w:t>
      </w:r>
      <w:r w:rsidRPr="00F55D99">
        <w:rPr>
          <w:rFonts w:cs="Arial"/>
        </w:rPr>
        <w:t xml:space="preserve">, 2021 QCCA 784; </w:t>
      </w:r>
      <w:r w:rsidRPr="00F55D99">
        <w:rPr>
          <w:rFonts w:cs="Arial"/>
          <w:i/>
          <w:iCs/>
        </w:rPr>
        <w:t>Abel c. R.</w:t>
      </w:r>
      <w:r w:rsidRPr="00F55D99">
        <w:rPr>
          <w:rFonts w:cs="Arial"/>
        </w:rPr>
        <w:t>, 2023 QCCA 824.</w:t>
      </w:r>
    </w:p>
  </w:footnote>
  <w:footnote w:id="59">
    <w:p w14:paraId="66F063E7" w14:textId="5A9BE4F2" w:rsidR="005C67B6" w:rsidRPr="00745CB7" w:rsidRDefault="005C67B6" w:rsidP="005C67B6">
      <w:pPr>
        <w:pStyle w:val="Notedebasdepage"/>
        <w:rPr>
          <w:rFonts w:cs="Arial"/>
        </w:rPr>
      </w:pPr>
      <w:r w:rsidRPr="00F55D99">
        <w:rPr>
          <w:rStyle w:val="Appelnotedebasdep"/>
          <w:rFonts w:cs="Arial"/>
        </w:rPr>
        <w:footnoteRef/>
      </w:r>
      <w:r w:rsidRPr="00F55D99">
        <w:rPr>
          <w:rFonts w:cs="Arial"/>
        </w:rPr>
        <w:t xml:space="preserve"> </w:t>
      </w:r>
      <w:r w:rsidRPr="00F55D99">
        <w:rPr>
          <w:rFonts w:cs="Arial"/>
        </w:rPr>
        <w:tab/>
      </w:r>
      <w:r w:rsidRPr="00F55D99">
        <w:rPr>
          <w:rFonts w:cs="Arial"/>
          <w:i/>
          <w:iCs/>
        </w:rPr>
        <w:t>C.cr.</w:t>
      </w:r>
      <w:r w:rsidRPr="00F55D99">
        <w:rPr>
          <w:rFonts w:cs="Arial"/>
        </w:rPr>
        <w:t xml:space="preserve">, art. 718.01. </w:t>
      </w:r>
      <w:r w:rsidRPr="00F55D99">
        <w:rPr>
          <w:rFonts w:cs="Arial"/>
          <w:i/>
          <w:iCs/>
        </w:rPr>
        <w:t>Québec (Procureur général) c. Senneville</w:t>
      </w:r>
      <w:r w:rsidRPr="00F55D99">
        <w:rPr>
          <w:rFonts w:cs="Arial"/>
        </w:rPr>
        <w:t>, 2025 CSC 33, par. 34</w:t>
      </w:r>
      <w:r w:rsidR="00942DB0">
        <w:rPr>
          <w:rFonts w:cs="Arial"/>
        </w:rPr>
        <w:t xml:space="preserve"> et 92</w:t>
      </w:r>
      <w:r w:rsidRPr="00F55D99">
        <w:rPr>
          <w:rFonts w:cs="Arial"/>
        </w:rPr>
        <w:t xml:space="preserve">; </w:t>
      </w:r>
      <w:r w:rsidRPr="00F55D99">
        <w:rPr>
          <w:rFonts w:cs="Arial"/>
          <w:i/>
          <w:iCs/>
        </w:rPr>
        <w:t>R. c. Sheppard</w:t>
      </w:r>
      <w:r w:rsidRPr="00F55D99">
        <w:rPr>
          <w:rFonts w:cs="Arial"/>
        </w:rPr>
        <w:t>, 2025 CSC 29</w:t>
      </w:r>
      <w:r w:rsidR="00942DB0">
        <w:rPr>
          <w:rFonts w:cs="Arial"/>
        </w:rPr>
        <w:t>, paragr. 117</w:t>
      </w:r>
      <w:r w:rsidRPr="00F55D99">
        <w:rPr>
          <w:rFonts w:cs="Arial"/>
        </w:rPr>
        <w:t>.</w:t>
      </w:r>
    </w:p>
  </w:footnote>
  <w:footnote w:id="60">
    <w:p w14:paraId="2F357BF2" w14:textId="77777777" w:rsidR="005C67B6" w:rsidRPr="00745CB7" w:rsidRDefault="005C67B6" w:rsidP="005C67B6">
      <w:pPr>
        <w:pStyle w:val="Notedebasdepage"/>
        <w:rPr>
          <w:rFonts w:cs="Arial"/>
        </w:rPr>
      </w:pPr>
      <w:r w:rsidRPr="00F55D99">
        <w:rPr>
          <w:rStyle w:val="Appelnotedebasdep"/>
          <w:rFonts w:cs="Arial"/>
        </w:rPr>
        <w:footnoteRef/>
      </w:r>
      <w:r w:rsidRPr="00F55D99">
        <w:rPr>
          <w:rFonts w:cs="Arial"/>
        </w:rPr>
        <w:t xml:space="preserve"> </w:t>
      </w:r>
      <w:r w:rsidRPr="00F55D99">
        <w:rPr>
          <w:rFonts w:cs="Arial"/>
        </w:rPr>
        <w:tab/>
      </w:r>
      <w:r w:rsidRPr="00F55D99">
        <w:rPr>
          <w:rFonts w:cs="Arial"/>
          <w:i/>
          <w:iCs/>
        </w:rPr>
        <w:t>R. c. Bertrand Marchand</w:t>
      </w:r>
      <w:r w:rsidRPr="00F55D99">
        <w:rPr>
          <w:rFonts w:cs="Arial"/>
        </w:rPr>
        <w:t xml:space="preserve">, 2023 CSC 26, par. 28. Voir également </w:t>
      </w:r>
      <w:r w:rsidRPr="00F55D99">
        <w:rPr>
          <w:rFonts w:cs="Arial"/>
          <w:i/>
          <w:iCs/>
        </w:rPr>
        <w:t>R. c. Lemieux</w:t>
      </w:r>
      <w:r w:rsidRPr="00F55D99">
        <w:rPr>
          <w:rFonts w:cs="Arial"/>
        </w:rPr>
        <w:t>, 2023 QCCA 480, par.</w:t>
      </w:r>
      <w:r>
        <w:rPr>
          <w:rFonts w:cs="Arial"/>
        </w:rPr>
        <w:t> </w:t>
      </w:r>
      <w:r w:rsidRPr="00F55D99">
        <w:rPr>
          <w:rFonts w:cs="Arial"/>
        </w:rPr>
        <w:t>96.</w:t>
      </w:r>
    </w:p>
  </w:footnote>
  <w:footnote w:id="61">
    <w:p w14:paraId="31E0C363" w14:textId="77777777" w:rsidR="005C67B6" w:rsidRPr="00745CB7" w:rsidRDefault="005C67B6" w:rsidP="005C67B6">
      <w:pPr>
        <w:pStyle w:val="Notedebasdepage"/>
        <w:rPr>
          <w:rFonts w:cs="Arial"/>
        </w:rPr>
      </w:pPr>
      <w:r w:rsidRPr="00F55D99">
        <w:rPr>
          <w:rStyle w:val="Appelnotedebasdep"/>
          <w:rFonts w:cs="Arial"/>
        </w:rPr>
        <w:footnoteRef/>
      </w:r>
      <w:r w:rsidRPr="00F55D99">
        <w:rPr>
          <w:rFonts w:cs="Arial"/>
        </w:rPr>
        <w:t xml:space="preserve">  </w:t>
      </w:r>
      <w:r w:rsidRPr="00F55D99">
        <w:rPr>
          <w:rFonts w:cs="Arial"/>
        </w:rPr>
        <w:tab/>
      </w:r>
      <w:r w:rsidRPr="00F55D99">
        <w:rPr>
          <w:rFonts w:cs="Arial"/>
          <w:i/>
          <w:iCs/>
        </w:rPr>
        <w:t>R. c. Proulx</w:t>
      </w:r>
      <w:r w:rsidRPr="00F55D99">
        <w:rPr>
          <w:rFonts w:cs="Arial"/>
        </w:rPr>
        <w:t>, 2000 CSC 5, par. 22, 114 et 15, où la Cour affirme qu</w:t>
      </w:r>
      <w:r>
        <w:rPr>
          <w:rFonts w:cs="Arial"/>
        </w:rPr>
        <w:t>’</w:t>
      </w:r>
      <w:r w:rsidRPr="00F55D99">
        <w:rPr>
          <w:rFonts w:cs="Arial"/>
        </w:rPr>
        <w:t>une peine d</w:t>
      </w:r>
      <w:r>
        <w:rPr>
          <w:rFonts w:cs="Arial"/>
        </w:rPr>
        <w:t>’</w:t>
      </w:r>
      <w:r w:rsidRPr="00F55D99">
        <w:rPr>
          <w:rFonts w:cs="Arial"/>
        </w:rPr>
        <w:t>emprisonnement avec sursis peut permettre la réalisation de l</w:t>
      </w:r>
      <w:r>
        <w:rPr>
          <w:rFonts w:cs="Arial"/>
        </w:rPr>
        <w:t>’</w:t>
      </w:r>
      <w:r w:rsidRPr="00F55D99">
        <w:rPr>
          <w:rFonts w:cs="Arial"/>
        </w:rPr>
        <w:t xml:space="preserve">objectif de justice corrective </w:t>
      </w:r>
      <w:r>
        <w:rPr>
          <w:rFonts w:cs="Arial"/>
        </w:rPr>
        <w:t>qu’est</w:t>
      </w:r>
      <w:r w:rsidRPr="00F55D99">
        <w:rPr>
          <w:rFonts w:cs="Arial"/>
        </w:rPr>
        <w:t xml:space="preserve"> la réinsertion sociale et </w:t>
      </w:r>
      <w:r>
        <w:rPr>
          <w:rFonts w:cs="Arial"/>
        </w:rPr>
        <w:t>l</w:t>
      </w:r>
      <w:r w:rsidRPr="00F55D99">
        <w:rPr>
          <w:rFonts w:cs="Arial"/>
        </w:rPr>
        <w:t xml:space="preserve">es objectifs punitifs de dénonciation et de dissuasion. </w:t>
      </w:r>
    </w:p>
  </w:footnote>
  <w:footnote w:id="62">
    <w:p w14:paraId="16B489F4" w14:textId="77777777" w:rsidR="005C67B6" w:rsidRPr="00F55D99" w:rsidRDefault="005C67B6" w:rsidP="005C67B6">
      <w:pPr>
        <w:pStyle w:val="Notedebasdepage"/>
        <w:tabs>
          <w:tab w:val="left" w:pos="720"/>
          <w:tab w:val="left" w:pos="1440"/>
          <w:tab w:val="left" w:pos="2160"/>
          <w:tab w:val="left" w:pos="3200"/>
        </w:tabs>
        <w:rPr>
          <w:rFonts w:cs="Arial"/>
        </w:rPr>
      </w:pPr>
      <w:r w:rsidRPr="00F55D99">
        <w:rPr>
          <w:rStyle w:val="Appelnotedebasdep"/>
          <w:rFonts w:cs="Arial"/>
        </w:rPr>
        <w:footnoteRef/>
      </w:r>
      <w:r w:rsidRPr="00F55D99">
        <w:rPr>
          <w:rFonts w:cs="Arial"/>
        </w:rPr>
        <w:t xml:space="preserve"> </w:t>
      </w:r>
      <w:r w:rsidRPr="00F55D99">
        <w:rPr>
          <w:rFonts w:cs="Arial"/>
        </w:rPr>
        <w:tab/>
      </w:r>
      <w:r w:rsidRPr="00F55D99">
        <w:rPr>
          <w:rFonts w:cs="Arial"/>
          <w:i/>
          <w:iCs/>
        </w:rPr>
        <w:t>R. c. Joly</w:t>
      </w:r>
      <w:r w:rsidRPr="00F55D99">
        <w:rPr>
          <w:rFonts w:cs="Arial"/>
        </w:rPr>
        <w:t xml:space="preserve">, 2024 QCCA 1151, par. 125; </w:t>
      </w:r>
      <w:r w:rsidRPr="00F55D99">
        <w:rPr>
          <w:rFonts w:cs="Arial"/>
          <w:i/>
          <w:iCs/>
        </w:rPr>
        <w:t>Casavant c. R.</w:t>
      </w:r>
      <w:r w:rsidRPr="00F55D99">
        <w:rPr>
          <w:rFonts w:cs="Arial"/>
        </w:rPr>
        <w:t>, 2025 QCCA 20, par. 89.</w:t>
      </w:r>
      <w:r w:rsidRPr="00F55D99">
        <w:rPr>
          <w:rFonts w:cs="Arial"/>
        </w:rPr>
        <w:tab/>
      </w:r>
    </w:p>
  </w:footnote>
  <w:footnote w:id="63">
    <w:p w14:paraId="271D1914" w14:textId="77777777" w:rsidR="005C67B6" w:rsidRPr="00F55D99" w:rsidRDefault="005C67B6" w:rsidP="005C67B6">
      <w:pPr>
        <w:pStyle w:val="Notedebasdepage"/>
        <w:rPr>
          <w:rFonts w:cs="Arial"/>
        </w:rPr>
      </w:pPr>
      <w:r w:rsidRPr="00F55D99">
        <w:rPr>
          <w:rStyle w:val="Appelnotedebasdep"/>
          <w:rFonts w:cs="Arial"/>
        </w:rPr>
        <w:footnoteRef/>
      </w:r>
      <w:r w:rsidRPr="00F55D99">
        <w:rPr>
          <w:rFonts w:cs="Arial"/>
        </w:rPr>
        <w:t xml:space="preserve"> </w:t>
      </w:r>
      <w:r w:rsidRPr="00F55D99">
        <w:rPr>
          <w:rFonts w:cs="Arial"/>
        </w:rPr>
        <w:tab/>
      </w:r>
      <w:r w:rsidRPr="00F55D99">
        <w:rPr>
          <w:rFonts w:cs="Arial"/>
          <w:i/>
          <w:iCs/>
        </w:rPr>
        <w:t>R. c. Friesen</w:t>
      </w:r>
      <w:r w:rsidRPr="00F55D99">
        <w:rPr>
          <w:rFonts w:cs="Arial"/>
        </w:rPr>
        <w:t xml:space="preserve">, 2020 CSC 9, par. 51; </w:t>
      </w:r>
      <w:r w:rsidRPr="00F55D99">
        <w:rPr>
          <w:rFonts w:cs="Arial"/>
          <w:i/>
          <w:iCs/>
        </w:rPr>
        <w:t>R. c. Von</w:t>
      </w:r>
      <w:r>
        <w:rPr>
          <w:rFonts w:cs="Arial"/>
          <w:i/>
          <w:iCs/>
        </w:rPr>
        <w:t> </w:t>
      </w:r>
      <w:r w:rsidRPr="00F55D99">
        <w:rPr>
          <w:rFonts w:cs="Arial"/>
          <w:i/>
          <w:iCs/>
        </w:rPr>
        <w:t>Gunten</w:t>
      </w:r>
      <w:r w:rsidRPr="00F55D99">
        <w:rPr>
          <w:rFonts w:cs="Arial"/>
        </w:rPr>
        <w:t xml:space="preserve">, 2006 QCCA 286, par. 14; </w:t>
      </w:r>
      <w:r w:rsidRPr="00F55D99">
        <w:rPr>
          <w:rFonts w:cs="Arial"/>
          <w:i/>
          <w:iCs/>
        </w:rPr>
        <w:t>R. c. Sharpe</w:t>
      </w:r>
      <w:r w:rsidRPr="00F55D99">
        <w:rPr>
          <w:rFonts w:cs="Arial"/>
        </w:rPr>
        <w:t>, 2001 CSC 2, par. 28.</w:t>
      </w:r>
    </w:p>
  </w:footnote>
  <w:footnote w:id="64">
    <w:p w14:paraId="2257DA07" w14:textId="77777777" w:rsidR="005C67B6" w:rsidRPr="00F55D99" w:rsidRDefault="005C67B6" w:rsidP="005C67B6">
      <w:pPr>
        <w:pStyle w:val="Notedebasdepage"/>
        <w:rPr>
          <w:rFonts w:cs="Arial"/>
        </w:rPr>
      </w:pPr>
      <w:r w:rsidRPr="00F55D99">
        <w:rPr>
          <w:rStyle w:val="Appelnotedebasdep"/>
          <w:rFonts w:cs="Arial"/>
        </w:rPr>
        <w:footnoteRef/>
      </w:r>
      <w:r w:rsidRPr="00F55D99">
        <w:rPr>
          <w:rFonts w:cs="Arial"/>
        </w:rPr>
        <w:t xml:space="preserve"> </w:t>
      </w:r>
      <w:r w:rsidRPr="00F55D99">
        <w:rPr>
          <w:rFonts w:cs="Arial"/>
        </w:rPr>
        <w:tab/>
        <w:t xml:space="preserve">Voir </w:t>
      </w:r>
      <w:r w:rsidRPr="00F55D99">
        <w:rPr>
          <w:rFonts w:cs="Arial"/>
          <w:i/>
          <w:iCs/>
        </w:rPr>
        <w:t>Léonard c. R.</w:t>
      </w:r>
      <w:r w:rsidRPr="00F55D99">
        <w:rPr>
          <w:rFonts w:cs="Arial"/>
        </w:rPr>
        <w:t>, 2025 QCCA 1035, par. 64-65.</w:t>
      </w:r>
    </w:p>
  </w:footnote>
  <w:footnote w:id="65">
    <w:p w14:paraId="1F53F624" w14:textId="77777777" w:rsidR="005C67B6" w:rsidRPr="00F55D99" w:rsidRDefault="005C67B6" w:rsidP="005C67B6">
      <w:pPr>
        <w:pStyle w:val="Notedebasdepage"/>
        <w:rPr>
          <w:rFonts w:cs="Arial"/>
        </w:rPr>
      </w:pPr>
      <w:r w:rsidRPr="00F55D99">
        <w:rPr>
          <w:rStyle w:val="Appelnotedebasdep"/>
          <w:rFonts w:cs="Arial"/>
        </w:rPr>
        <w:footnoteRef/>
      </w:r>
      <w:r w:rsidRPr="00F55D99">
        <w:rPr>
          <w:rFonts w:cs="Arial"/>
        </w:rPr>
        <w:t xml:space="preserve"> </w:t>
      </w:r>
      <w:r w:rsidRPr="00F55D99">
        <w:rPr>
          <w:rFonts w:cs="Arial"/>
        </w:rPr>
        <w:tab/>
      </w:r>
      <w:r w:rsidRPr="00F55D99">
        <w:rPr>
          <w:rFonts w:cs="Arial"/>
          <w:i/>
          <w:iCs/>
        </w:rPr>
        <w:t>Bérubé-Gagnon c. R.</w:t>
      </w:r>
      <w:r w:rsidRPr="00F55D99">
        <w:rPr>
          <w:rFonts w:cs="Arial"/>
        </w:rPr>
        <w:t>, 2020 QCCA 1382, par. 22-23</w:t>
      </w:r>
      <w:r>
        <w:rPr>
          <w:rFonts w:cs="Arial"/>
        </w:rPr>
        <w:t>.</w:t>
      </w:r>
      <w:r w:rsidRPr="00F55D99">
        <w:rPr>
          <w:rFonts w:cs="Arial"/>
        </w:rPr>
        <w:t xml:space="preserve"> </w:t>
      </w:r>
    </w:p>
  </w:footnote>
  <w:footnote w:id="66">
    <w:p w14:paraId="22B293CC" w14:textId="77777777" w:rsidR="005C67B6" w:rsidRDefault="005C67B6" w:rsidP="005C67B6">
      <w:pPr>
        <w:pStyle w:val="Notedebasdepage"/>
      </w:pPr>
      <w:r>
        <w:rPr>
          <w:rStyle w:val="Appelnotedebasdep"/>
        </w:rPr>
        <w:footnoteRef/>
      </w:r>
      <w:r>
        <w:t xml:space="preserve"> </w:t>
      </w:r>
      <w:r>
        <w:tab/>
      </w:r>
      <w:r w:rsidRPr="007241AC">
        <w:rPr>
          <w:rFonts w:cs="Arial"/>
        </w:rPr>
        <w:t>Le genre masculin est</w:t>
      </w:r>
      <w:r>
        <w:rPr>
          <w:rFonts w:cs="Arial"/>
        </w:rPr>
        <w:t xml:space="preserve"> utilisé comme genre neutre</w:t>
      </w:r>
      <w:r w:rsidRPr="007241AC">
        <w:rPr>
          <w:rFonts w:cs="Arial"/>
        </w:rPr>
        <w:t>.</w:t>
      </w:r>
    </w:p>
  </w:footnote>
  <w:footnote w:id="67">
    <w:p w14:paraId="37DCAD69" w14:textId="77777777" w:rsidR="005C67B6" w:rsidRDefault="005C67B6" w:rsidP="005C67B6">
      <w:pPr>
        <w:pStyle w:val="Notedebasdepage"/>
      </w:pPr>
      <w:r>
        <w:rPr>
          <w:rStyle w:val="Appelnotedebasdep"/>
        </w:rPr>
        <w:footnoteRef/>
      </w:r>
      <w:r>
        <w:t xml:space="preserve"> </w:t>
      </w:r>
      <w:r>
        <w:tab/>
      </w:r>
      <w:bookmarkStart w:id="18" w:name="_Hlk223182893"/>
      <w:r w:rsidRPr="00851F7B">
        <w:rPr>
          <w:i/>
          <w:iCs/>
        </w:rPr>
        <w:t>R. c. Gagnon</w:t>
      </w:r>
      <w:r w:rsidRPr="00851F7B">
        <w:t xml:space="preserve">, </w:t>
      </w:r>
      <w:r w:rsidRPr="00FE6B99">
        <w:t>2024 QCCA 373</w:t>
      </w:r>
      <w:r w:rsidRPr="00851F7B">
        <w:t xml:space="preserve"> (</w:t>
      </w:r>
      <w:r>
        <w:t>Vauclair, j.c.a</w:t>
      </w:r>
      <w:r w:rsidRPr="00851F7B">
        <w:t>)</w:t>
      </w:r>
      <w:r>
        <w:t>.</w:t>
      </w:r>
      <w:bookmarkEnd w:id="18"/>
    </w:p>
  </w:footnote>
  <w:footnote w:id="68">
    <w:p w14:paraId="27F566BE" w14:textId="77777777" w:rsidR="005C67B6" w:rsidRPr="00C540C7" w:rsidRDefault="005C67B6" w:rsidP="005C67B6">
      <w:pPr>
        <w:pStyle w:val="Notedebasdepage"/>
        <w:rPr>
          <w:lang w:val="en-CA"/>
        </w:rPr>
      </w:pPr>
      <w:r w:rsidRPr="00851F7B">
        <w:rPr>
          <w:rStyle w:val="Appelnotedebasdep"/>
        </w:rPr>
        <w:footnoteRef/>
      </w:r>
      <w:r w:rsidRPr="00C540C7">
        <w:rPr>
          <w:lang w:val="en-CA"/>
        </w:rPr>
        <w:tab/>
        <w:t xml:space="preserve">RLRQ, c. D-9.1.1. </w:t>
      </w:r>
    </w:p>
  </w:footnote>
  <w:footnote w:id="69">
    <w:p w14:paraId="0C735973" w14:textId="77777777" w:rsidR="005C67B6" w:rsidRPr="00A662F1" w:rsidRDefault="005C67B6" w:rsidP="005C67B6">
      <w:pPr>
        <w:pStyle w:val="Notedebasdepage"/>
        <w:rPr>
          <w:lang w:val="en-CA"/>
        </w:rPr>
      </w:pPr>
      <w:r>
        <w:rPr>
          <w:rStyle w:val="Appelnotedebasdep"/>
        </w:rPr>
        <w:footnoteRef/>
      </w:r>
      <w:r w:rsidRPr="00A662F1">
        <w:rPr>
          <w:lang w:val="en-CA"/>
        </w:rPr>
        <w:t xml:space="preserve"> </w:t>
      </w:r>
      <w:r w:rsidRPr="00A662F1">
        <w:rPr>
          <w:lang w:val="en-CA"/>
        </w:rPr>
        <w:tab/>
      </w:r>
      <w:bookmarkStart w:id="19" w:name="_Hlk223264927"/>
      <w:r w:rsidRPr="00A662F1">
        <w:rPr>
          <w:i/>
          <w:iCs/>
          <w:lang w:val="en-CA"/>
        </w:rPr>
        <w:t xml:space="preserve">Id., </w:t>
      </w:r>
      <w:bookmarkStart w:id="20" w:name="_Hlk223264995"/>
      <w:bookmarkEnd w:id="19"/>
      <w:r w:rsidRPr="00A662F1">
        <w:rPr>
          <w:lang w:val="en-CA"/>
        </w:rPr>
        <w:t>art</w:t>
      </w:r>
      <w:bookmarkEnd w:id="20"/>
      <w:r w:rsidRPr="00A662F1">
        <w:rPr>
          <w:lang w:val="en-CA"/>
        </w:rPr>
        <w:t>. 1.</w:t>
      </w:r>
    </w:p>
  </w:footnote>
  <w:footnote w:id="70">
    <w:p w14:paraId="403B3CC3" w14:textId="77777777" w:rsidR="005C67B6" w:rsidRPr="00C540C7" w:rsidRDefault="005C67B6" w:rsidP="005C67B6">
      <w:pPr>
        <w:pStyle w:val="Notedebasdepage"/>
      </w:pPr>
      <w:r>
        <w:rPr>
          <w:rStyle w:val="Appelnotedebasdep"/>
        </w:rPr>
        <w:footnoteRef/>
      </w:r>
      <w:r w:rsidRPr="00C540C7">
        <w:t xml:space="preserve"> </w:t>
      </w:r>
      <w:r w:rsidRPr="00C540C7">
        <w:tab/>
      </w:r>
      <w:r w:rsidRPr="00C540C7">
        <w:rPr>
          <w:i/>
          <w:iCs/>
        </w:rPr>
        <w:t>Id.,</w:t>
      </w:r>
      <w:r w:rsidRPr="00C540C7">
        <w:t xml:space="preserve"> art 13 al. 2.</w:t>
      </w:r>
    </w:p>
  </w:footnote>
  <w:footnote w:id="71">
    <w:p w14:paraId="3B96D038" w14:textId="77777777" w:rsidR="005C67B6" w:rsidRPr="00851F7B" w:rsidRDefault="005C67B6" w:rsidP="005C67B6">
      <w:pPr>
        <w:pStyle w:val="Notedebasdepage"/>
      </w:pPr>
      <w:r w:rsidRPr="00851F7B">
        <w:rPr>
          <w:rStyle w:val="Appelnotedebasdep"/>
        </w:rPr>
        <w:footnoteRef/>
      </w:r>
      <w:r w:rsidRPr="00851F7B">
        <w:t xml:space="preserve"> </w:t>
      </w:r>
      <w:r w:rsidRPr="00851F7B">
        <w:tab/>
      </w:r>
      <w:r w:rsidRPr="00851F7B">
        <w:rPr>
          <w:i/>
          <w:iCs/>
        </w:rPr>
        <w:t>Québec (Procureur général) c. 9148-5847 Québec inc.</w:t>
      </w:r>
      <w:r w:rsidRPr="00851F7B">
        <w:t xml:space="preserve">, </w:t>
      </w:r>
      <w:r w:rsidRPr="00FE6B99">
        <w:t>2012 QCCA 1362</w:t>
      </w:r>
      <w:r w:rsidRPr="00851F7B">
        <w:t xml:space="preserve">, </w:t>
      </w:r>
      <w:r w:rsidRPr="00851F7B">
        <w:rPr>
          <w:rFonts w:cs="Arial"/>
        </w:rPr>
        <w:t>par. 41</w:t>
      </w:r>
      <w:r>
        <w:rPr>
          <w:rFonts w:cs="Arial"/>
        </w:rPr>
        <w:t xml:space="preserve">, renvoyant à </w:t>
      </w:r>
      <w:r w:rsidRPr="00642EA2">
        <w:rPr>
          <w:rFonts w:cs="Arial"/>
          <w:i/>
          <w:iCs/>
        </w:rPr>
        <w:t>Krieger c. Law Society of Alberta</w:t>
      </w:r>
      <w:r w:rsidRPr="00642EA2">
        <w:rPr>
          <w:rFonts w:cs="Arial"/>
        </w:rPr>
        <w:t>, </w:t>
      </w:r>
      <w:r w:rsidRPr="00FE6B99">
        <w:rPr>
          <w:rFonts w:cs="Arial"/>
        </w:rPr>
        <w:t>2002 CSC 65</w:t>
      </w:r>
      <w:r w:rsidRPr="00642EA2">
        <w:rPr>
          <w:rFonts w:cs="Arial"/>
        </w:rPr>
        <w:t>, par. </w:t>
      </w:r>
      <w:r>
        <w:rPr>
          <w:rFonts w:cs="Arial"/>
        </w:rPr>
        <w:t>30</w:t>
      </w:r>
      <w:r w:rsidRPr="00642EA2">
        <w:rPr>
          <w:rFonts w:cs="Arial"/>
        </w:rPr>
        <w:t>; </w:t>
      </w:r>
      <w:r w:rsidRPr="00642EA2">
        <w:rPr>
          <w:rFonts w:cs="Arial"/>
          <w:i/>
          <w:iCs/>
        </w:rPr>
        <w:t>R c. Nixon</w:t>
      </w:r>
      <w:r w:rsidRPr="00642EA2">
        <w:rPr>
          <w:rFonts w:cs="Arial"/>
        </w:rPr>
        <w:t>, </w:t>
      </w:r>
      <w:r w:rsidRPr="00B8016B">
        <w:t>2011 CSC 34</w:t>
      </w:r>
      <w:r w:rsidRPr="00642EA2">
        <w:rPr>
          <w:rFonts w:cs="Arial"/>
        </w:rPr>
        <w:t>, par. </w:t>
      </w:r>
      <w:r>
        <w:rPr>
          <w:rFonts w:cs="Arial"/>
        </w:rPr>
        <w:t>20.</w:t>
      </w:r>
    </w:p>
  </w:footnote>
  <w:footnote w:id="72">
    <w:p w14:paraId="23BEC3D8" w14:textId="77777777" w:rsidR="005C67B6" w:rsidRPr="00851F7B" w:rsidRDefault="005C67B6" w:rsidP="005C67B6">
      <w:pPr>
        <w:pStyle w:val="Notedebasdepage"/>
      </w:pPr>
      <w:r w:rsidRPr="00851F7B">
        <w:rPr>
          <w:rStyle w:val="Appelnotedebasdep"/>
        </w:rPr>
        <w:footnoteRef/>
      </w:r>
      <w:r w:rsidRPr="00851F7B">
        <w:t xml:space="preserve"> </w:t>
      </w:r>
      <w:r w:rsidRPr="00851F7B">
        <w:tab/>
        <w:t xml:space="preserve">Pierre Lapointe, « La Loi sur le directeur des poursuites criminelles et pénales », </w:t>
      </w:r>
      <w:r>
        <w:t xml:space="preserve">dans </w:t>
      </w:r>
      <w:r w:rsidRPr="008B1922">
        <w:rPr>
          <w:i/>
          <w:iCs/>
        </w:rPr>
        <w:t>Développements récents en droit criminel</w:t>
      </w:r>
      <w:r>
        <w:rPr>
          <w:i/>
          <w:iCs/>
        </w:rPr>
        <w:t xml:space="preserve">, </w:t>
      </w:r>
      <w:r w:rsidRPr="000F2EA9">
        <w:t>vol. 264, 2007,</w:t>
      </w:r>
      <w:r w:rsidRPr="00851F7B">
        <w:t xml:space="preserve"> 99, p. 101, cité dans </w:t>
      </w:r>
      <w:r w:rsidRPr="00851F7B">
        <w:rPr>
          <w:i/>
          <w:iCs/>
        </w:rPr>
        <w:t>Ouellet c. R.</w:t>
      </w:r>
      <w:r w:rsidRPr="00851F7B">
        <w:t xml:space="preserve">, </w:t>
      </w:r>
      <w:r w:rsidRPr="00FE6B99">
        <w:t>2021 QCCA 386</w:t>
      </w:r>
      <w:r w:rsidRPr="00851F7B">
        <w:t xml:space="preserve">, </w:t>
      </w:r>
      <w:r w:rsidRPr="00851F7B">
        <w:rPr>
          <w:rFonts w:cs="Arial"/>
        </w:rPr>
        <w:t xml:space="preserve">par. 71. Voir aussi </w:t>
      </w:r>
      <w:r w:rsidRPr="00851F7B">
        <w:rPr>
          <w:rFonts w:cs="Arial"/>
          <w:i/>
          <w:iCs/>
        </w:rPr>
        <w:t>R. c. Kyres</w:t>
      </w:r>
      <w:r w:rsidRPr="00851F7B">
        <w:rPr>
          <w:rFonts w:cs="Arial"/>
        </w:rPr>
        <w:t xml:space="preserve">, </w:t>
      </w:r>
      <w:r w:rsidRPr="00FE6B99">
        <w:rPr>
          <w:rFonts w:cs="Arial"/>
        </w:rPr>
        <w:t>2018 QCCS 4671</w:t>
      </w:r>
      <w:r w:rsidRPr="00851F7B">
        <w:rPr>
          <w:rFonts w:cs="Arial"/>
        </w:rPr>
        <w:t>, par.</w:t>
      </w:r>
      <w:r>
        <w:rPr>
          <w:rFonts w:cs="Arial"/>
        </w:rPr>
        <w:t xml:space="preserve"> </w:t>
      </w:r>
      <w:r w:rsidRPr="00851F7B">
        <w:rPr>
          <w:rFonts w:cs="Arial"/>
        </w:rPr>
        <w:t xml:space="preserve">189; </w:t>
      </w:r>
      <w:r w:rsidRPr="003669E9">
        <w:rPr>
          <w:rFonts w:cs="Arial"/>
        </w:rPr>
        <w:t xml:space="preserve">Martin Vauclair, Tristan Desjardins et Pauline Lachance, </w:t>
      </w:r>
      <w:r w:rsidRPr="008B1922">
        <w:rPr>
          <w:rFonts w:cs="Arial"/>
          <w:i/>
          <w:iCs/>
        </w:rPr>
        <w:t>Traité de preuve et de procédure pénales</w:t>
      </w:r>
      <w:r w:rsidRPr="003669E9">
        <w:rPr>
          <w:rFonts w:cs="Arial"/>
        </w:rPr>
        <w:t>, 32</w:t>
      </w:r>
      <w:r w:rsidRPr="008B1922">
        <w:rPr>
          <w:rFonts w:cs="Arial"/>
          <w:vertAlign w:val="superscript"/>
        </w:rPr>
        <w:t>e</w:t>
      </w:r>
      <w:r w:rsidRPr="003669E9">
        <w:rPr>
          <w:rFonts w:cs="Arial"/>
        </w:rPr>
        <w:t xml:space="preserve"> éd., Montréal, Éditions Yvon Blais, 2025, </w:t>
      </w:r>
      <w:r>
        <w:rPr>
          <w:rFonts w:cs="Arial"/>
        </w:rPr>
        <w:t>par.</w:t>
      </w:r>
      <w:r>
        <w:rPr>
          <w:rFonts w:cs="Arial"/>
          <w:vertAlign w:val="superscript"/>
        </w:rPr>
        <w:t> </w:t>
      </w:r>
      <w:r w:rsidRPr="003669E9">
        <w:rPr>
          <w:rFonts w:cs="Arial"/>
        </w:rPr>
        <w:t>8.3-8.4, p. 165-166.</w:t>
      </w:r>
    </w:p>
  </w:footnote>
  <w:footnote w:id="73">
    <w:p w14:paraId="686C0497" w14:textId="77777777" w:rsidR="005C67B6" w:rsidRPr="006E1215" w:rsidRDefault="005C67B6" w:rsidP="005C67B6">
      <w:pPr>
        <w:pStyle w:val="Notedebasdepage"/>
        <w:rPr>
          <w:lang w:val="en-CA"/>
        </w:rPr>
      </w:pPr>
      <w:r>
        <w:rPr>
          <w:rStyle w:val="Appelnotedebasdep"/>
        </w:rPr>
        <w:footnoteRef/>
      </w:r>
      <w:r w:rsidRPr="006E1215">
        <w:rPr>
          <w:lang w:val="en-CA"/>
        </w:rPr>
        <w:t xml:space="preserve">   </w:t>
      </w:r>
      <w:r w:rsidRPr="006E1215">
        <w:rPr>
          <w:lang w:val="en-CA"/>
        </w:rPr>
        <w:tab/>
      </w:r>
      <w:r w:rsidRPr="006E1215">
        <w:rPr>
          <w:i/>
          <w:iCs/>
          <w:lang w:val="en-CA"/>
        </w:rPr>
        <w:t>L.D.p.c.p.</w:t>
      </w:r>
      <w:r w:rsidRPr="006E1215">
        <w:rPr>
          <w:lang w:val="en-CA"/>
        </w:rPr>
        <w:t>, art. 13 al. 2.</w:t>
      </w:r>
    </w:p>
  </w:footnote>
  <w:footnote w:id="74">
    <w:p w14:paraId="12F90DDE" w14:textId="77777777" w:rsidR="005C67B6" w:rsidRPr="00851F7B" w:rsidRDefault="005C67B6" w:rsidP="005C67B6">
      <w:pPr>
        <w:pStyle w:val="Notedebasdepage"/>
      </w:pPr>
      <w:r w:rsidRPr="00851F7B">
        <w:rPr>
          <w:rStyle w:val="Appelnotedebasdep"/>
        </w:rPr>
        <w:footnoteRef/>
      </w:r>
      <w:r w:rsidRPr="00851F7B">
        <w:t xml:space="preserve"> </w:t>
      </w:r>
      <w:r w:rsidRPr="00851F7B">
        <w:tab/>
      </w:r>
      <w:r w:rsidRPr="00851F7B">
        <w:rPr>
          <w:i/>
          <w:iCs/>
        </w:rPr>
        <w:t>R. c. Zampino</w:t>
      </w:r>
      <w:r w:rsidRPr="00851F7B">
        <w:t xml:space="preserve">, </w:t>
      </w:r>
      <w:r w:rsidRPr="00FE6B99">
        <w:t>2020 QCCA 158</w:t>
      </w:r>
      <w:r w:rsidRPr="00851F7B">
        <w:t xml:space="preserve">, </w:t>
      </w:r>
      <w:r w:rsidRPr="00851F7B">
        <w:rPr>
          <w:rFonts w:cs="Arial"/>
        </w:rPr>
        <w:t>par. 8</w:t>
      </w:r>
      <w:r w:rsidRPr="00851F7B">
        <w:t xml:space="preserve"> (Savard, </w:t>
      </w:r>
      <w:r>
        <w:t>j.c.a.</w:t>
      </w:r>
      <w:r w:rsidRPr="00851F7B">
        <w:t xml:space="preserve">), renvoyant à </w:t>
      </w:r>
      <w:r w:rsidRPr="00851F7B">
        <w:rPr>
          <w:i/>
          <w:iCs/>
        </w:rPr>
        <w:t>Munyaneza c. R.</w:t>
      </w:r>
      <w:r w:rsidRPr="00851F7B">
        <w:t xml:space="preserve">, </w:t>
      </w:r>
      <w:r w:rsidRPr="00FE6B99">
        <w:t>2012 QCCA 1829</w:t>
      </w:r>
      <w:r w:rsidRPr="00851F7B">
        <w:t>, par. 8.</w:t>
      </w:r>
    </w:p>
  </w:footnote>
  <w:footnote w:id="75">
    <w:p w14:paraId="7795BE89" w14:textId="77777777" w:rsidR="005C67B6" w:rsidRPr="00CA2342" w:rsidRDefault="005C67B6" w:rsidP="005C67B6">
      <w:pPr>
        <w:pStyle w:val="Notedebasdepage"/>
      </w:pPr>
      <w:r w:rsidRPr="00851F7B">
        <w:rPr>
          <w:rStyle w:val="Appelnotedebasdep"/>
        </w:rPr>
        <w:footnoteRef/>
      </w:r>
      <w:r w:rsidRPr="00851F7B">
        <w:t xml:space="preserve"> </w:t>
      </w:r>
      <w:r w:rsidRPr="00851F7B">
        <w:tab/>
      </w:r>
      <w:r w:rsidRPr="00CA2342">
        <w:rPr>
          <w:i/>
          <w:iCs/>
        </w:rPr>
        <w:t>Gravel c. Denis</w:t>
      </w:r>
      <w:r w:rsidRPr="00CA2342">
        <w:t xml:space="preserve">, </w:t>
      </w:r>
      <w:r w:rsidRPr="00FE6B99">
        <w:t>2024 QCCA 2</w:t>
      </w:r>
      <w:r w:rsidRPr="00CA2342">
        <w:t>, par. 16, 24. Voir aussi :</w:t>
      </w:r>
      <w:r w:rsidRPr="00CA2342">
        <w:rPr>
          <w:i/>
          <w:iCs/>
        </w:rPr>
        <w:t xml:space="preserve"> R. c. Zampino</w:t>
      </w:r>
      <w:r w:rsidRPr="00CA2342">
        <w:t xml:space="preserve">, </w:t>
      </w:r>
      <w:r w:rsidRPr="00FE6B99">
        <w:t>2020 QCCA 158</w:t>
      </w:r>
      <w:r w:rsidRPr="00CA2342">
        <w:t xml:space="preserve">, </w:t>
      </w:r>
      <w:r w:rsidRPr="00CA2342">
        <w:rPr>
          <w:rFonts w:cs="Arial"/>
        </w:rPr>
        <w:t>par. 8</w:t>
      </w:r>
      <w:r w:rsidRPr="00CA2342">
        <w:t xml:space="preserve"> (Savard, </w:t>
      </w:r>
      <w:r>
        <w:t>j.c.a.</w:t>
      </w:r>
      <w:r w:rsidRPr="00CA2342">
        <w:t xml:space="preserve">), renvoyant à </w:t>
      </w:r>
      <w:r w:rsidRPr="00CA2342">
        <w:rPr>
          <w:i/>
          <w:iCs/>
        </w:rPr>
        <w:t>Munyaneza c. R.</w:t>
      </w:r>
      <w:r w:rsidRPr="00CA2342">
        <w:t xml:space="preserve">, </w:t>
      </w:r>
      <w:r w:rsidRPr="00FE6B99">
        <w:t>2012 QCCA 1829</w:t>
      </w:r>
      <w:r w:rsidRPr="00CA2342">
        <w:t>, par. 8;</w:t>
      </w:r>
      <w:r w:rsidRPr="00CA2342">
        <w:rPr>
          <w:i/>
          <w:iCs/>
        </w:rPr>
        <w:t xml:space="preserve"> Caron v. R., </w:t>
      </w:r>
      <w:r w:rsidRPr="00FE6B99">
        <w:t>1988 CanLII 941 (QC CA)</w:t>
      </w:r>
      <w:r w:rsidRPr="00CA2342">
        <w:t xml:space="preserve">, [1988] R.J.Q. 2333, p. 2335 (C.A.); </w:t>
      </w:r>
      <w:r w:rsidRPr="00CA2342">
        <w:rPr>
          <w:rFonts w:cs="Arial"/>
          <w:i/>
          <w:iCs/>
        </w:rPr>
        <w:t xml:space="preserve">R. v. Ahenakew, </w:t>
      </w:r>
      <w:r w:rsidRPr="00FE6B99">
        <w:rPr>
          <w:rFonts w:cs="Arial"/>
        </w:rPr>
        <w:t>2007 SKCA 54</w:t>
      </w:r>
      <w:r w:rsidRPr="00CA2342">
        <w:rPr>
          <w:rFonts w:cs="Arial"/>
        </w:rPr>
        <w:t>, par. 11,</w:t>
      </w:r>
      <w:r w:rsidRPr="00CA2342">
        <w:rPr>
          <w:rFonts w:cs="Arial"/>
          <w:i/>
          <w:iCs/>
        </w:rPr>
        <w:t xml:space="preserve"> </w:t>
      </w:r>
      <w:r w:rsidRPr="00CA2342">
        <w:rPr>
          <w:rFonts w:cs="Arial"/>
        </w:rPr>
        <w:t>r</w:t>
      </w:r>
      <w:r>
        <w:rPr>
          <w:rFonts w:cs="Arial"/>
        </w:rPr>
        <w:t>envoy</w:t>
      </w:r>
      <w:r w:rsidRPr="00CA2342">
        <w:rPr>
          <w:rFonts w:cs="Arial"/>
        </w:rPr>
        <w:t>ant à</w:t>
      </w:r>
      <w:r w:rsidRPr="00CA2342">
        <w:rPr>
          <w:i/>
          <w:iCs/>
        </w:rPr>
        <w:t xml:space="preserve"> R. v. Finta, </w:t>
      </w:r>
      <w:r w:rsidRPr="00FE6B99">
        <w:t>1990 CanLII 6824</w:t>
      </w:r>
      <w:r w:rsidRPr="00CA2342">
        <w:t xml:space="preserve"> (ON CA);</w:t>
      </w:r>
      <w:r w:rsidRPr="00CA2342">
        <w:rPr>
          <w:i/>
          <w:iCs/>
        </w:rPr>
        <w:t xml:space="preserve"> R. v. Morgentaler, Smoling and Scott, </w:t>
      </w:r>
      <w:r w:rsidRPr="00FE6B99">
        <w:t>1985 CanLII 3543</w:t>
      </w:r>
      <w:r w:rsidRPr="00CA2342">
        <w:t xml:space="preserve">, 19 C.C.C. (3d), </w:t>
      </w:r>
      <w:r w:rsidRPr="00CA2342">
        <w:rPr>
          <w:rFonts w:cs="Arial"/>
        </w:rPr>
        <w:t>p. 576.</w:t>
      </w:r>
      <w:r w:rsidRPr="00CA2342">
        <w:rPr>
          <w:rFonts w:cs="Arial"/>
          <w:i/>
          <w:iCs/>
        </w:rPr>
        <w:t xml:space="preserve"> </w:t>
      </w:r>
    </w:p>
  </w:footnote>
  <w:footnote w:id="76">
    <w:p w14:paraId="46BB7326" w14:textId="77777777" w:rsidR="005C67B6" w:rsidRPr="00D023D4" w:rsidRDefault="005C67B6" w:rsidP="005C67B6">
      <w:pPr>
        <w:pStyle w:val="Notedebasdepage"/>
        <w:rPr>
          <w:lang w:val="en-CA"/>
        </w:rPr>
      </w:pPr>
      <w:r>
        <w:rPr>
          <w:rStyle w:val="Appelnotedebasdep"/>
        </w:rPr>
        <w:footnoteRef/>
      </w:r>
      <w:r w:rsidRPr="00D023D4">
        <w:rPr>
          <w:lang w:val="en-CA"/>
        </w:rPr>
        <w:t xml:space="preserve"> </w:t>
      </w:r>
      <w:r>
        <w:rPr>
          <w:lang w:val="en-CA"/>
        </w:rPr>
        <w:tab/>
      </w:r>
      <w:r w:rsidRPr="00D023D4">
        <w:rPr>
          <w:i/>
          <w:iCs/>
          <w:lang w:val="en-CA"/>
        </w:rPr>
        <w:t>L.D.p.c.p</w:t>
      </w:r>
      <w:r>
        <w:rPr>
          <w:i/>
          <w:iCs/>
          <w:lang w:val="en-CA"/>
        </w:rPr>
        <w:t xml:space="preserve">, </w:t>
      </w:r>
      <w:r w:rsidRPr="00D023D4">
        <w:rPr>
          <w:lang w:val="en-CA"/>
        </w:rPr>
        <w:t>art. 1 al. 3</w:t>
      </w:r>
      <w:r w:rsidRPr="00D023D4">
        <w:rPr>
          <w:i/>
          <w:iCs/>
          <w:lang w:val="en-CA"/>
        </w:rPr>
        <w:t>.</w:t>
      </w:r>
    </w:p>
  </w:footnote>
  <w:footnote w:id="77">
    <w:p w14:paraId="203D4981" w14:textId="77777777" w:rsidR="005C67B6" w:rsidRPr="00D023D4" w:rsidRDefault="005C67B6" w:rsidP="005C67B6">
      <w:pPr>
        <w:pStyle w:val="Notedebasdepage"/>
        <w:rPr>
          <w:lang w:val="en-CA"/>
        </w:rPr>
      </w:pPr>
      <w:r>
        <w:rPr>
          <w:rStyle w:val="Appelnotedebasdep"/>
        </w:rPr>
        <w:footnoteRef/>
      </w:r>
      <w:r w:rsidRPr="00D023D4">
        <w:rPr>
          <w:lang w:val="en-CA"/>
        </w:rPr>
        <w:t xml:space="preserve"> </w:t>
      </w:r>
      <w:r>
        <w:rPr>
          <w:lang w:val="en-CA"/>
        </w:rPr>
        <w:tab/>
      </w:r>
      <w:r>
        <w:rPr>
          <w:i/>
          <w:iCs/>
          <w:lang w:val="en-CA"/>
        </w:rPr>
        <w:t xml:space="preserve">Id., </w:t>
      </w:r>
      <w:r w:rsidRPr="00D023D4">
        <w:rPr>
          <w:lang w:val="en-CA"/>
        </w:rPr>
        <w:t>art. 13 al. 1(1°).</w:t>
      </w:r>
    </w:p>
  </w:footnote>
  <w:footnote w:id="78">
    <w:p w14:paraId="6A39A564" w14:textId="77777777" w:rsidR="005C67B6" w:rsidRPr="00FE33BB" w:rsidRDefault="005C67B6" w:rsidP="005C67B6">
      <w:pPr>
        <w:pStyle w:val="Notedebasdepage"/>
        <w:rPr>
          <w:lang w:val="en-CA"/>
        </w:rPr>
      </w:pPr>
      <w:r>
        <w:rPr>
          <w:rStyle w:val="Appelnotedebasdep"/>
        </w:rPr>
        <w:footnoteRef/>
      </w:r>
      <w:r w:rsidRPr="00FE33BB">
        <w:rPr>
          <w:lang w:val="en-CA"/>
        </w:rPr>
        <w:t xml:space="preserve"> </w:t>
      </w:r>
      <w:r>
        <w:rPr>
          <w:lang w:val="en-CA"/>
        </w:rPr>
        <w:tab/>
      </w:r>
      <w:r>
        <w:rPr>
          <w:i/>
          <w:iCs/>
          <w:lang w:val="en-CA"/>
        </w:rPr>
        <w:t xml:space="preserve">Id., </w:t>
      </w:r>
      <w:r w:rsidRPr="00FE33BB">
        <w:rPr>
          <w:lang w:val="en-CA"/>
        </w:rPr>
        <w:t>art. 13 al. 2</w:t>
      </w:r>
      <w:r w:rsidRPr="00FE33BB">
        <w:rPr>
          <w:i/>
          <w:iCs/>
          <w:lang w:val="en-CA"/>
        </w:rPr>
        <w:t>.</w:t>
      </w:r>
      <w:r>
        <w:rPr>
          <w:lang w:val="en-CA"/>
        </w:rPr>
        <w:t xml:space="preserve"> </w:t>
      </w:r>
    </w:p>
  </w:footnote>
  <w:footnote w:id="79">
    <w:p w14:paraId="408ACAC4" w14:textId="77777777" w:rsidR="005C67B6" w:rsidRPr="00D96FC6" w:rsidRDefault="005C67B6" w:rsidP="005C67B6">
      <w:pPr>
        <w:pStyle w:val="Notedebasdepage"/>
      </w:pPr>
      <w:r>
        <w:rPr>
          <w:rStyle w:val="Appelnotedebasdep"/>
        </w:rPr>
        <w:footnoteRef/>
      </w:r>
      <w:r w:rsidRPr="00D96FC6">
        <w:t xml:space="preserve"> </w:t>
      </w:r>
      <w:r w:rsidRPr="00D96FC6">
        <w:tab/>
      </w:r>
      <w:r w:rsidRPr="00D96FC6">
        <w:rPr>
          <w:i/>
          <w:iCs/>
        </w:rPr>
        <w:t xml:space="preserve">Id., </w:t>
      </w:r>
      <w:r w:rsidRPr="00D96FC6">
        <w:t>art. 15 al. 1(3°)</w:t>
      </w:r>
      <w:r w:rsidRPr="00D96FC6">
        <w:rPr>
          <w:i/>
          <w:iCs/>
        </w:rPr>
        <w:t>.</w:t>
      </w:r>
    </w:p>
  </w:footnote>
  <w:footnote w:id="80">
    <w:p w14:paraId="27918816" w14:textId="77777777" w:rsidR="005C67B6" w:rsidRPr="00851F7B" w:rsidRDefault="005C67B6" w:rsidP="005C67B6">
      <w:pPr>
        <w:pStyle w:val="Notedebasdepage"/>
      </w:pPr>
      <w:r w:rsidRPr="00851F7B">
        <w:rPr>
          <w:rStyle w:val="Appelnotedebasdep"/>
        </w:rPr>
        <w:footnoteRef/>
      </w:r>
      <w:r w:rsidRPr="00851F7B">
        <w:t xml:space="preserve"> </w:t>
      </w:r>
      <w:r w:rsidRPr="00851F7B">
        <w:tab/>
        <w:t>« Cet avis n’est pas requis lorsque la réparation demandée concerne la communication d’une preuve, l’exclusion d’un élément de preuve ou la durée du délai écoulé depuis le moment de l’accusation, ou encore dans les cas déterminés par arrêté du ministre de la Justice publié à la </w:t>
      </w:r>
      <w:r w:rsidRPr="00851F7B">
        <w:rPr>
          <w:i/>
          <w:iCs/>
        </w:rPr>
        <w:t>Gazette officielle du Québec</w:t>
      </w:r>
      <w:r w:rsidRPr="00851F7B">
        <w:t>. »</w:t>
      </w:r>
    </w:p>
  </w:footnote>
  <w:footnote w:id="81">
    <w:p w14:paraId="151E8764" w14:textId="77777777" w:rsidR="005C67B6" w:rsidRPr="00851F7B" w:rsidRDefault="005C67B6" w:rsidP="005C67B6">
      <w:pPr>
        <w:pStyle w:val="Notedebasdepage"/>
      </w:pPr>
      <w:r w:rsidRPr="00851F7B">
        <w:rPr>
          <w:rStyle w:val="Appelnotedebasdep"/>
        </w:rPr>
        <w:footnoteRef/>
      </w:r>
      <w:r w:rsidRPr="00851F7B">
        <w:t xml:space="preserve"> </w:t>
      </w:r>
      <w:r w:rsidRPr="00851F7B">
        <w:tab/>
        <w:t xml:space="preserve">Voir en ce sens </w:t>
      </w:r>
      <w:r w:rsidRPr="00851F7B">
        <w:rPr>
          <w:i/>
          <w:iCs/>
        </w:rPr>
        <w:t>Turgeon c. R</w:t>
      </w:r>
      <w:r w:rsidRPr="00851F7B">
        <w:t xml:space="preserve">., </w:t>
      </w:r>
      <w:r w:rsidRPr="00363AC2">
        <w:t>2019 QCCS 1321</w:t>
      </w:r>
      <w:r w:rsidRPr="00851F7B">
        <w:t xml:space="preserve">, par. 4; </w:t>
      </w:r>
      <w:r w:rsidRPr="00851F7B">
        <w:rPr>
          <w:i/>
          <w:iCs/>
        </w:rPr>
        <w:t>Municipalité de</w:t>
      </w:r>
      <w:r w:rsidRPr="00851F7B">
        <w:t xml:space="preserve"> </w:t>
      </w:r>
      <w:r w:rsidRPr="00851F7B">
        <w:rPr>
          <w:i/>
          <w:iCs/>
        </w:rPr>
        <w:t>Val-Morin c. Cuerrier</w:t>
      </w:r>
      <w:r w:rsidRPr="00851F7B">
        <w:t xml:space="preserve">, </w:t>
      </w:r>
      <w:r w:rsidRPr="00363AC2">
        <w:t>2020 QCCS 2805</w:t>
      </w:r>
      <w:r w:rsidRPr="00851F7B">
        <w:t>, par. 75</w:t>
      </w:r>
      <w:r>
        <w:t xml:space="preserve"> et</w:t>
      </w:r>
      <w:r w:rsidRPr="00851F7B">
        <w:t xml:space="preserve"> 84.</w:t>
      </w:r>
    </w:p>
  </w:footnote>
  <w:footnote w:id="82">
    <w:p w14:paraId="4F3CC12C" w14:textId="77777777" w:rsidR="005C67B6" w:rsidRDefault="005C67B6" w:rsidP="005C67B6">
      <w:pPr>
        <w:pStyle w:val="Notedebasdepage"/>
      </w:pPr>
      <w:r>
        <w:rPr>
          <w:rStyle w:val="Appelnotedebasdep"/>
        </w:rPr>
        <w:footnoteRef/>
      </w:r>
      <w:r>
        <w:t xml:space="preserve"> </w:t>
      </w:r>
      <w:r>
        <w:tab/>
      </w:r>
      <w:r w:rsidRPr="00325891">
        <w:rPr>
          <w:i/>
          <w:iCs/>
        </w:rPr>
        <w:t>Québec (Procureur général) c. 9148-5847 Québec inc.</w:t>
      </w:r>
      <w:r w:rsidRPr="00325891">
        <w:t>, 2012 QCCA 1362, par. 4</w:t>
      </w:r>
      <w:r>
        <w:t>2.</w:t>
      </w:r>
    </w:p>
  </w:footnote>
  <w:footnote w:id="83">
    <w:p w14:paraId="68CB9783" w14:textId="77777777" w:rsidR="005C67B6" w:rsidRPr="009332A8" w:rsidRDefault="005C67B6" w:rsidP="005C67B6">
      <w:pPr>
        <w:pStyle w:val="Notedebasdepage"/>
        <w:rPr>
          <w:highlight w:val="yellow"/>
        </w:rPr>
      </w:pPr>
      <w:r>
        <w:rPr>
          <w:rStyle w:val="Appelnotedebasdep"/>
        </w:rPr>
        <w:footnoteRef/>
      </w:r>
      <w:r w:rsidRPr="001C56A6">
        <w:t xml:space="preserve"> </w:t>
      </w:r>
      <w:r w:rsidRPr="001C56A6">
        <w:tab/>
      </w:r>
      <w:r w:rsidRPr="007D3423">
        <w:t xml:space="preserve">Voir par exemple </w:t>
      </w:r>
      <w:r w:rsidRPr="007D3423">
        <w:rPr>
          <w:i/>
          <w:iCs/>
        </w:rPr>
        <w:t>R. c. Laba</w:t>
      </w:r>
      <w:r w:rsidRPr="007D3423">
        <w:t xml:space="preserve">, </w:t>
      </w:r>
      <w:r w:rsidRPr="00B05ACF">
        <w:t>[1994] 3 R.C.S. 965</w:t>
      </w:r>
      <w:r w:rsidRPr="007D3423">
        <w:t xml:space="preserve">; </w:t>
      </w:r>
      <w:r w:rsidRPr="007D3423">
        <w:rPr>
          <w:i/>
          <w:iCs/>
        </w:rPr>
        <w:t>R. c. Keegstra</w:t>
      </w:r>
      <w:r w:rsidRPr="007D3423">
        <w:t xml:space="preserve">, </w:t>
      </w:r>
      <w:r w:rsidRPr="00B05ACF">
        <w:t>[1995] 2 R.C.S. 381</w:t>
      </w:r>
      <w:r w:rsidRPr="007D3423">
        <w:t xml:space="preserve">; </w:t>
      </w:r>
      <w:r w:rsidRPr="009332A8">
        <w:rPr>
          <w:i/>
          <w:iCs/>
        </w:rPr>
        <w:t>R v Ndhlovu</w:t>
      </w:r>
      <w:r w:rsidRPr="009332A8">
        <w:t xml:space="preserve">, </w:t>
      </w:r>
      <w:r w:rsidRPr="00B05ACF">
        <w:t>2018 ABCA 260</w:t>
      </w:r>
      <w:r>
        <w:t xml:space="preserve">; </w:t>
      </w:r>
      <w:r w:rsidRPr="009332A8">
        <w:rPr>
          <w:i/>
          <w:iCs/>
        </w:rPr>
        <w:t>R. v. White</w:t>
      </w:r>
      <w:r w:rsidRPr="009332A8">
        <w:t xml:space="preserve">, </w:t>
      </w:r>
      <w:r w:rsidRPr="00B05ACF">
        <w:t>2008 ABCA 294</w:t>
      </w:r>
      <w:r w:rsidRPr="009332A8">
        <w:t>.</w:t>
      </w:r>
    </w:p>
  </w:footnote>
  <w:footnote w:id="84">
    <w:p w14:paraId="65807752" w14:textId="77777777" w:rsidR="005C67B6" w:rsidRPr="006406FB" w:rsidRDefault="005C67B6" w:rsidP="005C67B6">
      <w:pPr>
        <w:pStyle w:val="Notedebasdepage"/>
        <w:rPr>
          <w:lang w:val="en-CA"/>
        </w:rPr>
      </w:pPr>
      <w:r>
        <w:rPr>
          <w:rStyle w:val="Appelnotedebasdep"/>
        </w:rPr>
        <w:footnoteRef/>
      </w:r>
      <w:r w:rsidRPr="006406FB">
        <w:rPr>
          <w:lang w:val="en-CA"/>
        </w:rPr>
        <w:t xml:space="preserve"> </w:t>
      </w:r>
      <w:r w:rsidRPr="006406FB">
        <w:rPr>
          <w:lang w:val="en-CA"/>
        </w:rPr>
        <w:tab/>
      </w:r>
      <w:r w:rsidRPr="006406FB">
        <w:rPr>
          <w:i/>
          <w:iCs/>
          <w:lang w:val="en-CA"/>
        </w:rPr>
        <w:t>R. c. Laba</w:t>
      </w:r>
      <w:r w:rsidRPr="006406FB">
        <w:rPr>
          <w:lang w:val="en-CA"/>
        </w:rPr>
        <w:t xml:space="preserve">, </w:t>
      </w:r>
      <w:r w:rsidRPr="00B05ACF">
        <w:rPr>
          <w:lang w:val="en-CA"/>
        </w:rPr>
        <w:t>[1994] 3 RCS 965</w:t>
      </w:r>
      <w:r>
        <w:rPr>
          <w:lang w:val="en-CA"/>
        </w:rPr>
        <w:t>.</w:t>
      </w:r>
    </w:p>
  </w:footnote>
  <w:footnote w:id="85">
    <w:p w14:paraId="0C6E72DD" w14:textId="77777777" w:rsidR="005C67B6" w:rsidRPr="00E47AC9" w:rsidRDefault="005C67B6" w:rsidP="005C67B6">
      <w:pPr>
        <w:pStyle w:val="Notedebasdepage"/>
      </w:pPr>
      <w:r>
        <w:rPr>
          <w:rStyle w:val="Appelnotedebasdep"/>
        </w:rPr>
        <w:footnoteRef/>
      </w:r>
      <w:r w:rsidRPr="007D3423">
        <w:rPr>
          <w:lang w:val="en-CA"/>
        </w:rPr>
        <w:t xml:space="preserve"> </w:t>
      </w:r>
      <w:r w:rsidRPr="007D3423">
        <w:rPr>
          <w:lang w:val="en-CA"/>
        </w:rPr>
        <w:tab/>
      </w:r>
      <w:r w:rsidRPr="00B05ACF">
        <w:rPr>
          <w:lang w:val="en-CA"/>
        </w:rPr>
        <w:t xml:space="preserve">L.R.C. 1985, ch. </w:t>
      </w:r>
      <w:r w:rsidRPr="00E47AC9">
        <w:t>S-26.</w:t>
      </w:r>
    </w:p>
  </w:footnote>
  <w:footnote w:id="86">
    <w:p w14:paraId="0439353F" w14:textId="77777777" w:rsidR="005C67B6" w:rsidRPr="00B0615F" w:rsidRDefault="005C67B6" w:rsidP="005C67B6">
      <w:pPr>
        <w:pStyle w:val="Notedebasdepage"/>
      </w:pPr>
      <w:r w:rsidRPr="00B0615F">
        <w:rPr>
          <w:rStyle w:val="Appelnotedebasdep"/>
        </w:rPr>
        <w:footnoteRef/>
      </w:r>
      <w:r w:rsidRPr="00B0615F">
        <w:t xml:space="preserve">   L’article 40(3) </w:t>
      </w:r>
      <w:r w:rsidRPr="00B0615F">
        <w:rPr>
          <w:i/>
          <w:iCs/>
        </w:rPr>
        <w:t>LCS</w:t>
      </w:r>
      <w:r w:rsidRPr="00B0615F">
        <w:t xml:space="preserve"> « </w:t>
      </w:r>
      <w:r w:rsidRPr="00B0615F">
        <w:rPr>
          <w:rFonts w:cs="Arial"/>
        </w:rPr>
        <w:t>[</w:t>
      </w:r>
      <w:r w:rsidRPr="00B0615F">
        <w:t>…</w:t>
      </w:r>
      <w:r w:rsidRPr="00B0615F">
        <w:rPr>
          <w:rFonts w:cs="Arial"/>
        </w:rPr>
        <w:t>]</w:t>
      </w:r>
      <w:r w:rsidRPr="00B0615F">
        <w:t xml:space="preserve"> ne permet pas d’en appeler devant la Cour d’un jugement prononçant un acquittement ou une déclaration de culpabilité ou annulant ou confirmant l’une ou l’autre de ces décisions dans le cas d’un acte criminel ou, sauf s’il s’agit d’une question de droit ou de compétence, d’une infraction autre qu’un acte criminel ».</w:t>
      </w:r>
    </w:p>
  </w:footnote>
  <w:footnote w:id="87">
    <w:p w14:paraId="21BC64C4" w14:textId="77777777" w:rsidR="005C67B6" w:rsidRDefault="005C67B6" w:rsidP="005C67B6">
      <w:pPr>
        <w:pStyle w:val="Notedebasdepage"/>
      </w:pPr>
      <w:r>
        <w:rPr>
          <w:rStyle w:val="Appelnotedebasdep"/>
        </w:rPr>
        <w:footnoteRef/>
      </w:r>
      <w:r>
        <w:t xml:space="preserve"> </w:t>
      </w:r>
      <w:r>
        <w:tab/>
      </w:r>
      <w:r w:rsidRPr="00851F7B">
        <w:rPr>
          <w:i/>
          <w:iCs/>
        </w:rPr>
        <w:t>R. c. Laba</w:t>
      </w:r>
      <w:r w:rsidRPr="00851F7B">
        <w:t xml:space="preserve">, </w:t>
      </w:r>
      <w:r w:rsidRPr="006F6585">
        <w:t>[1994] 3 RCS 965</w:t>
      </w:r>
      <w:r w:rsidRPr="00851F7B">
        <w:t xml:space="preserve">, </w:t>
      </w:r>
      <w:r w:rsidRPr="00851F7B">
        <w:rPr>
          <w:rFonts w:cs="Arial"/>
        </w:rPr>
        <w:t xml:space="preserve">par. 22. Voir </w:t>
      </w:r>
      <w:r>
        <w:rPr>
          <w:rFonts w:cs="Arial"/>
        </w:rPr>
        <w:t xml:space="preserve">également </w:t>
      </w:r>
      <w:r w:rsidRPr="00851F7B">
        <w:rPr>
          <w:rFonts w:cs="Arial"/>
          <w:i/>
          <w:iCs/>
        </w:rPr>
        <w:t>Legault c. R.</w:t>
      </w:r>
      <w:r w:rsidRPr="00851F7B">
        <w:rPr>
          <w:rFonts w:cs="Arial"/>
        </w:rPr>
        <w:t xml:space="preserve">, </w:t>
      </w:r>
      <w:r w:rsidRPr="006F6585">
        <w:rPr>
          <w:rFonts w:cs="Arial"/>
        </w:rPr>
        <w:t>2024 QCCA 1136</w:t>
      </w:r>
      <w:r w:rsidRPr="00851F7B">
        <w:rPr>
          <w:rFonts w:cs="Arial"/>
        </w:rPr>
        <w:t>, par. 102-104.</w:t>
      </w:r>
    </w:p>
  </w:footnote>
  <w:footnote w:id="88">
    <w:p w14:paraId="5372737E" w14:textId="77777777" w:rsidR="005C67B6" w:rsidRPr="00851F7B" w:rsidRDefault="005C67B6" w:rsidP="005C67B6">
      <w:pPr>
        <w:pStyle w:val="Notedebasdepage"/>
      </w:pPr>
      <w:r w:rsidRPr="00851F7B">
        <w:rPr>
          <w:rStyle w:val="Appelnotedebasdep"/>
        </w:rPr>
        <w:footnoteRef/>
      </w:r>
      <w:r w:rsidRPr="00851F7B">
        <w:t xml:space="preserve"> </w:t>
      </w:r>
      <w:r w:rsidRPr="00851F7B">
        <w:tab/>
      </w:r>
      <w:r w:rsidRPr="00851F7B">
        <w:rPr>
          <w:rFonts w:cs="Arial"/>
          <w:i/>
          <w:iCs/>
        </w:rPr>
        <w:t>Kourtessis c. M.R.N.</w:t>
      </w:r>
      <w:r w:rsidRPr="00851F7B">
        <w:rPr>
          <w:rFonts w:cs="Arial"/>
        </w:rPr>
        <w:t xml:space="preserve">, </w:t>
      </w:r>
      <w:r w:rsidRPr="00B05ACF">
        <w:rPr>
          <w:rFonts w:cs="Arial"/>
        </w:rPr>
        <w:t>[1993] 2 R.C.S. 53</w:t>
      </w:r>
      <w:r w:rsidRPr="00851F7B">
        <w:rPr>
          <w:rFonts w:cs="Arial"/>
        </w:rPr>
        <w:t>, p. 80 (motifs du juge La Forest).</w:t>
      </w:r>
    </w:p>
  </w:footnote>
  <w:footnote w:id="89">
    <w:p w14:paraId="68C57CC4" w14:textId="77777777" w:rsidR="005C67B6" w:rsidRPr="007D3423" w:rsidRDefault="005C67B6" w:rsidP="005C67B6">
      <w:pPr>
        <w:pStyle w:val="Notedebasdepage"/>
      </w:pPr>
      <w:r>
        <w:rPr>
          <w:rStyle w:val="Appelnotedebasdep"/>
        </w:rPr>
        <w:footnoteRef/>
      </w:r>
      <w:r w:rsidRPr="007D3423">
        <w:rPr>
          <w:i/>
          <w:iCs/>
        </w:rPr>
        <w:t xml:space="preserve"> </w:t>
      </w:r>
      <w:r w:rsidRPr="007D3423">
        <w:rPr>
          <w:i/>
          <w:iCs/>
        </w:rPr>
        <w:tab/>
        <w:t>R. c. Laba</w:t>
      </w:r>
      <w:r w:rsidRPr="007D3423">
        <w:t xml:space="preserve">, </w:t>
      </w:r>
      <w:r w:rsidRPr="00B05ACF">
        <w:t>[1994] 3 RCS 965</w:t>
      </w:r>
      <w:r w:rsidRPr="007D3423">
        <w:t>, par</w:t>
      </w:r>
      <w:r>
        <w:t>, 22-23.</w:t>
      </w:r>
    </w:p>
  </w:footnote>
  <w:footnote w:id="90">
    <w:p w14:paraId="7B505CCB" w14:textId="77777777" w:rsidR="005C67B6" w:rsidRDefault="005C67B6" w:rsidP="005C67B6">
      <w:pPr>
        <w:pStyle w:val="Notedebasdepage"/>
      </w:pPr>
      <w:r>
        <w:rPr>
          <w:rStyle w:val="Appelnotedebasdep"/>
        </w:rPr>
        <w:footnoteRef/>
      </w:r>
      <w:r>
        <w:t xml:space="preserve"> </w:t>
      </w:r>
      <w:r>
        <w:tab/>
      </w:r>
      <w:r w:rsidRPr="00851F7B">
        <w:rPr>
          <w:i/>
          <w:iCs/>
        </w:rPr>
        <w:t>R. c. Gagnon</w:t>
      </w:r>
      <w:r w:rsidRPr="00851F7B">
        <w:t xml:space="preserve">, </w:t>
      </w:r>
      <w:r w:rsidRPr="00B05ACF">
        <w:t>2024 QCCA 373</w:t>
      </w:r>
      <w:r>
        <w:t>, par. 17</w:t>
      </w:r>
      <w:r w:rsidRPr="00851F7B">
        <w:t xml:space="preserve"> (j. unique)</w:t>
      </w:r>
      <w:r>
        <w:t xml:space="preserve">, renvoyant à </w:t>
      </w:r>
      <w:r w:rsidRPr="00082D05">
        <w:rPr>
          <w:i/>
          <w:iCs/>
        </w:rPr>
        <w:t>Denis c. Côté</w:t>
      </w:r>
      <w:r w:rsidRPr="00082D05">
        <w:t>, 2018 QCCA 611, par.</w:t>
      </w:r>
      <w:r>
        <w:t> </w:t>
      </w:r>
      <w:r w:rsidRPr="00082D05">
        <w:t>9, confirmé à 2019 CSC 44, par. 25.</w:t>
      </w:r>
    </w:p>
  </w:footnote>
  <w:footnote w:id="91">
    <w:p w14:paraId="5504BFAC" w14:textId="77777777" w:rsidR="005C67B6" w:rsidRDefault="005C67B6" w:rsidP="005C67B6">
      <w:pPr>
        <w:pStyle w:val="Notedebasdepage"/>
      </w:pPr>
      <w:r>
        <w:rPr>
          <w:rStyle w:val="Appelnotedebasdep"/>
        </w:rPr>
        <w:footnoteRef/>
      </w:r>
      <w:r>
        <w:t xml:space="preserve"> </w:t>
      </w:r>
      <w:r>
        <w:tab/>
        <w:t xml:space="preserve">L’article 77 </w:t>
      </w:r>
      <w:r>
        <w:rPr>
          <w:i/>
          <w:iCs/>
        </w:rPr>
        <w:t xml:space="preserve">C.p.c. </w:t>
      </w:r>
      <w:r>
        <w:t>confère au PGQ son statut de partie dans la présente affaire, et énonce qu’« il </w:t>
      </w:r>
      <w:r w:rsidRPr="00E858B7">
        <w:t>peut soumettre ses conclusions sur lesquelles le tribunal doit se prononcer</w:t>
      </w:r>
      <w:r>
        <w:t xml:space="preserve"> ». Les règles du </w:t>
      </w:r>
      <w:r>
        <w:rPr>
          <w:i/>
          <w:iCs/>
        </w:rPr>
        <w:t xml:space="preserve">C.p.c. </w:t>
      </w:r>
      <w:r>
        <w:t xml:space="preserve">s’appliquent sauf en cas d’incompatibilité avec le </w:t>
      </w:r>
      <w:r>
        <w:rPr>
          <w:i/>
          <w:iCs/>
        </w:rPr>
        <w:t>C.cr.</w:t>
      </w:r>
      <w:r>
        <w:t>, ce qui n’est pas le cas ici (</w:t>
      </w:r>
      <w:r w:rsidRPr="00851F7B">
        <w:t xml:space="preserve">art. </w:t>
      </w:r>
      <w:r>
        <w:t>8</w:t>
      </w:r>
      <w:r w:rsidRPr="00851F7B">
        <w:t xml:space="preserve">7 </w:t>
      </w:r>
      <w:r w:rsidRPr="00851F7B">
        <w:rPr>
          <w:i/>
          <w:iCs/>
        </w:rPr>
        <w:t>R.C.a.Q.m.c</w:t>
      </w:r>
      <w:r>
        <w:rPr>
          <w:i/>
          <w:iCs/>
        </w:rPr>
        <w: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6739" w14:textId="77777777" w:rsidR="005C67B6" w:rsidRDefault="005C67B6" w:rsidP="007456E1">
    <w:pPr>
      <w:tabs>
        <w:tab w:val="center" w:pos="4709"/>
        <w:tab w:val="right" w:pos="9360"/>
      </w:tabs>
      <w:spacing w:line="360" w:lineRule="auto"/>
      <w:ind w:right="524"/>
    </w:pPr>
    <w:r>
      <w:t xml:space="preserve">500-10-700102-245 </w:t>
    </w:r>
    <w:r>
      <w:tab/>
    </w:r>
    <w:r>
      <w:tab/>
      <w:t xml:space="preserve">PAGE : </w:t>
    </w:r>
    <w:r>
      <w:fldChar w:fldCharType="begin"/>
    </w:r>
    <w:r>
      <w:instrText xml:space="preserve"> PAGE </w:instrText>
    </w:r>
    <w:r>
      <w:fldChar w:fldCharType="separate"/>
    </w:r>
    <w:r>
      <w:t>1</w:t>
    </w:r>
    <w:r>
      <w:fldChar w:fldCharType="end"/>
    </w:r>
  </w:p>
  <w:p w14:paraId="68AB5137" w14:textId="77777777" w:rsidR="00DE01FB" w:rsidRDefault="00DE01FB" w:rsidP="007456E1">
    <w:pPr>
      <w:tabs>
        <w:tab w:val="center" w:pos="4709"/>
        <w:tab w:val="right" w:pos="9360"/>
      </w:tabs>
      <w:spacing w:line="360" w:lineRule="auto"/>
      <w:ind w:right="52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00ED" w14:textId="77777777" w:rsidR="005C67B6" w:rsidRDefault="005C67B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338A" w14:textId="77777777" w:rsidR="005C67B6" w:rsidRDefault="005C67B6" w:rsidP="00B6637F">
    <w:pPr>
      <w:tabs>
        <w:tab w:val="center" w:pos="4709"/>
        <w:tab w:val="right" w:pos="9360"/>
      </w:tabs>
      <w:spacing w:line="360" w:lineRule="auto"/>
      <w:ind w:right="524"/>
    </w:pPr>
    <w:r>
      <w:t>500-10-700102-245</w:t>
    </w:r>
    <w:r w:rsidRPr="007462D6">
      <w:t xml:space="preserve"> </w:t>
    </w:r>
    <w:r>
      <w:tab/>
    </w:r>
    <w:r>
      <w:tab/>
      <w:t xml:space="preserve">PAGE : </w:t>
    </w:r>
    <w:r>
      <w:fldChar w:fldCharType="begin"/>
    </w:r>
    <w:r>
      <w:instrText xml:space="preserve"> PAGE </w:instrText>
    </w:r>
    <w:r>
      <w:fldChar w:fldCharType="separate"/>
    </w:r>
    <w:r>
      <w:t>1</w:t>
    </w:r>
    <w:r>
      <w:fldChar w:fldCharType="end"/>
    </w:r>
  </w:p>
  <w:p w14:paraId="5AC8880B" w14:textId="77777777" w:rsidR="00DE01FB" w:rsidRDefault="00DE01FB" w:rsidP="00B6637F">
    <w:pPr>
      <w:tabs>
        <w:tab w:val="center" w:pos="4709"/>
        <w:tab w:val="right" w:pos="9360"/>
      </w:tabs>
      <w:spacing w:line="360" w:lineRule="auto"/>
      <w:ind w:right="52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8084" w14:textId="77777777" w:rsidR="005C67B6" w:rsidRDefault="005C67B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DE82E" w14:textId="12258EBE" w:rsidR="007E33E4" w:rsidRDefault="007F79C4" w:rsidP="00DB2119">
    <w:pPr>
      <w:tabs>
        <w:tab w:val="center" w:pos="4709"/>
        <w:tab w:val="right" w:pos="9360"/>
      </w:tabs>
      <w:spacing w:line="360" w:lineRule="auto"/>
      <w:ind w:right="524"/>
    </w:pPr>
    <w:bookmarkStart w:id="27" w:name="EntDossier"/>
    <w:r>
      <w:t>500-10-700102-245</w:t>
    </w:r>
    <w:bookmarkEnd w:id="27"/>
    <w:r w:rsidR="007E33E4" w:rsidRPr="007462D6">
      <w:t xml:space="preserve"> </w:t>
    </w:r>
    <w:r w:rsidR="007E33E4">
      <w:tab/>
    </w:r>
    <w:r w:rsidR="007E33E4">
      <w:tab/>
      <w:t xml:space="preserve">PAGE : </w:t>
    </w:r>
    <w:r w:rsidR="007E33E4">
      <w:fldChar w:fldCharType="begin"/>
    </w:r>
    <w:r w:rsidR="007E33E4">
      <w:instrText xml:space="preserve"> PAGE </w:instrText>
    </w:r>
    <w:r w:rsidR="007E33E4">
      <w:fldChar w:fldCharType="separate"/>
    </w:r>
    <w:r w:rsidR="008D18FC">
      <w:rPr>
        <w:noProof/>
      </w:rPr>
      <w:t>2</w:t>
    </w:r>
    <w:r w:rsidR="007E33E4">
      <w:fldChar w:fldCharType="end"/>
    </w:r>
  </w:p>
  <w:p w14:paraId="7580F6AA" w14:textId="77777777" w:rsidR="007E33E4" w:rsidRDefault="007E33E4" w:rsidP="00DB2119">
    <w:pPr>
      <w:tabs>
        <w:tab w:val="center" w:pos="4709"/>
        <w:tab w:val="right" w:pos="9360"/>
      </w:tabs>
      <w:spacing w:line="360" w:lineRule="auto"/>
      <w:ind w:right="52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1E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12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2647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1C3B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EAB8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1219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07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6436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DCE6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34AE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CD00A3"/>
    <w:multiLevelType w:val="hybridMultilevel"/>
    <w:tmpl w:val="48CC224E"/>
    <w:lvl w:ilvl="0" w:tplc="0C0C0005">
      <w:start w:val="1"/>
      <w:numFmt w:val="bullet"/>
      <w:lvlText w:val=""/>
      <w:lvlJc w:val="left"/>
      <w:pPr>
        <w:ind w:left="1512" w:hanging="360"/>
      </w:pPr>
      <w:rPr>
        <w:rFonts w:ascii="Wingdings" w:hAnsi="Wingdings" w:hint="default"/>
      </w:rPr>
    </w:lvl>
    <w:lvl w:ilvl="1" w:tplc="0C0C0003" w:tentative="1">
      <w:start w:val="1"/>
      <w:numFmt w:val="bullet"/>
      <w:lvlText w:val="o"/>
      <w:lvlJc w:val="left"/>
      <w:pPr>
        <w:ind w:left="2232" w:hanging="360"/>
      </w:pPr>
      <w:rPr>
        <w:rFonts w:ascii="Courier New" w:hAnsi="Courier New" w:cs="Courier New" w:hint="default"/>
      </w:rPr>
    </w:lvl>
    <w:lvl w:ilvl="2" w:tplc="0C0C0005" w:tentative="1">
      <w:start w:val="1"/>
      <w:numFmt w:val="bullet"/>
      <w:lvlText w:val=""/>
      <w:lvlJc w:val="left"/>
      <w:pPr>
        <w:ind w:left="2952" w:hanging="360"/>
      </w:pPr>
      <w:rPr>
        <w:rFonts w:ascii="Wingdings" w:hAnsi="Wingdings" w:hint="default"/>
      </w:rPr>
    </w:lvl>
    <w:lvl w:ilvl="3" w:tplc="0C0C0001" w:tentative="1">
      <w:start w:val="1"/>
      <w:numFmt w:val="bullet"/>
      <w:lvlText w:val=""/>
      <w:lvlJc w:val="left"/>
      <w:pPr>
        <w:ind w:left="3672" w:hanging="360"/>
      </w:pPr>
      <w:rPr>
        <w:rFonts w:ascii="Symbol" w:hAnsi="Symbol" w:hint="default"/>
      </w:rPr>
    </w:lvl>
    <w:lvl w:ilvl="4" w:tplc="0C0C0003" w:tentative="1">
      <w:start w:val="1"/>
      <w:numFmt w:val="bullet"/>
      <w:lvlText w:val="o"/>
      <w:lvlJc w:val="left"/>
      <w:pPr>
        <w:ind w:left="4392" w:hanging="360"/>
      </w:pPr>
      <w:rPr>
        <w:rFonts w:ascii="Courier New" w:hAnsi="Courier New" w:cs="Courier New" w:hint="default"/>
      </w:rPr>
    </w:lvl>
    <w:lvl w:ilvl="5" w:tplc="0C0C0005" w:tentative="1">
      <w:start w:val="1"/>
      <w:numFmt w:val="bullet"/>
      <w:lvlText w:val=""/>
      <w:lvlJc w:val="left"/>
      <w:pPr>
        <w:ind w:left="5112" w:hanging="360"/>
      </w:pPr>
      <w:rPr>
        <w:rFonts w:ascii="Wingdings" w:hAnsi="Wingdings" w:hint="default"/>
      </w:rPr>
    </w:lvl>
    <w:lvl w:ilvl="6" w:tplc="0C0C0001" w:tentative="1">
      <w:start w:val="1"/>
      <w:numFmt w:val="bullet"/>
      <w:lvlText w:val=""/>
      <w:lvlJc w:val="left"/>
      <w:pPr>
        <w:ind w:left="5832" w:hanging="360"/>
      </w:pPr>
      <w:rPr>
        <w:rFonts w:ascii="Symbol" w:hAnsi="Symbol" w:hint="default"/>
      </w:rPr>
    </w:lvl>
    <w:lvl w:ilvl="7" w:tplc="0C0C0003" w:tentative="1">
      <w:start w:val="1"/>
      <w:numFmt w:val="bullet"/>
      <w:lvlText w:val="o"/>
      <w:lvlJc w:val="left"/>
      <w:pPr>
        <w:ind w:left="6552" w:hanging="360"/>
      </w:pPr>
      <w:rPr>
        <w:rFonts w:ascii="Courier New" w:hAnsi="Courier New" w:cs="Courier New" w:hint="default"/>
      </w:rPr>
    </w:lvl>
    <w:lvl w:ilvl="8" w:tplc="0C0C0005" w:tentative="1">
      <w:start w:val="1"/>
      <w:numFmt w:val="bullet"/>
      <w:lvlText w:val=""/>
      <w:lvlJc w:val="left"/>
      <w:pPr>
        <w:ind w:left="7272" w:hanging="360"/>
      </w:pPr>
      <w:rPr>
        <w:rFonts w:ascii="Wingdings" w:hAnsi="Wingdings" w:hint="default"/>
      </w:rPr>
    </w:lvl>
  </w:abstractNum>
  <w:abstractNum w:abstractNumId="11" w15:restartNumberingAfterBreak="0">
    <w:nsid w:val="1F1D5E53"/>
    <w:multiLevelType w:val="hybridMultilevel"/>
    <w:tmpl w:val="488A2A90"/>
    <w:lvl w:ilvl="0" w:tplc="26841CE0">
      <w:start w:val="1"/>
      <w:numFmt w:val="decimal"/>
      <w:lvlText w:val="%1."/>
      <w:lvlJc w:val="left"/>
      <w:pPr>
        <w:ind w:left="1080" w:hanging="360"/>
      </w:pPr>
      <w:rPr>
        <w:rFonts w:hint="default"/>
      </w:rPr>
    </w:lvl>
    <w:lvl w:ilvl="1" w:tplc="FE721D1A" w:tentative="1">
      <w:start w:val="1"/>
      <w:numFmt w:val="lowerLetter"/>
      <w:lvlText w:val="%2."/>
      <w:lvlJc w:val="left"/>
      <w:pPr>
        <w:ind w:left="1800" w:hanging="360"/>
      </w:pPr>
    </w:lvl>
    <w:lvl w:ilvl="2" w:tplc="B1FE0C66" w:tentative="1">
      <w:start w:val="1"/>
      <w:numFmt w:val="lowerRoman"/>
      <w:lvlText w:val="%3."/>
      <w:lvlJc w:val="right"/>
      <w:pPr>
        <w:ind w:left="2520" w:hanging="180"/>
      </w:pPr>
    </w:lvl>
    <w:lvl w:ilvl="3" w:tplc="2438E434" w:tentative="1">
      <w:start w:val="1"/>
      <w:numFmt w:val="decimal"/>
      <w:lvlText w:val="%4."/>
      <w:lvlJc w:val="left"/>
      <w:pPr>
        <w:ind w:left="3240" w:hanging="360"/>
      </w:pPr>
    </w:lvl>
    <w:lvl w:ilvl="4" w:tplc="2CDA253A" w:tentative="1">
      <w:start w:val="1"/>
      <w:numFmt w:val="lowerLetter"/>
      <w:lvlText w:val="%5."/>
      <w:lvlJc w:val="left"/>
      <w:pPr>
        <w:ind w:left="3960" w:hanging="360"/>
      </w:pPr>
    </w:lvl>
    <w:lvl w:ilvl="5" w:tplc="7AD2545A" w:tentative="1">
      <w:start w:val="1"/>
      <w:numFmt w:val="lowerRoman"/>
      <w:lvlText w:val="%6."/>
      <w:lvlJc w:val="right"/>
      <w:pPr>
        <w:ind w:left="4680" w:hanging="180"/>
      </w:pPr>
    </w:lvl>
    <w:lvl w:ilvl="6" w:tplc="881ABE02" w:tentative="1">
      <w:start w:val="1"/>
      <w:numFmt w:val="decimal"/>
      <w:lvlText w:val="%7."/>
      <w:lvlJc w:val="left"/>
      <w:pPr>
        <w:ind w:left="5400" w:hanging="360"/>
      </w:pPr>
    </w:lvl>
    <w:lvl w:ilvl="7" w:tplc="0E44C89A" w:tentative="1">
      <w:start w:val="1"/>
      <w:numFmt w:val="lowerLetter"/>
      <w:lvlText w:val="%8."/>
      <w:lvlJc w:val="left"/>
      <w:pPr>
        <w:ind w:left="6120" w:hanging="360"/>
      </w:pPr>
    </w:lvl>
    <w:lvl w:ilvl="8" w:tplc="67A0F078" w:tentative="1">
      <w:start w:val="1"/>
      <w:numFmt w:val="lowerRoman"/>
      <w:lvlText w:val="%9."/>
      <w:lvlJc w:val="right"/>
      <w:pPr>
        <w:ind w:left="6840" w:hanging="180"/>
      </w:pPr>
    </w:lvl>
  </w:abstractNum>
  <w:abstractNum w:abstractNumId="12" w15:restartNumberingAfterBreak="0">
    <w:nsid w:val="24A216B5"/>
    <w:multiLevelType w:val="hybridMultilevel"/>
    <w:tmpl w:val="83F2741A"/>
    <w:lvl w:ilvl="0" w:tplc="4072B5FC">
      <w:start w:val="7"/>
      <w:numFmt w:val="bullet"/>
      <w:lvlText w:val="-"/>
      <w:lvlJc w:val="left"/>
      <w:pPr>
        <w:ind w:left="720" w:hanging="360"/>
      </w:pPr>
      <w:rPr>
        <w:rFonts w:ascii="Arial" w:eastAsia="Times New Roman" w:hAnsi="Arial" w:cs="Arial" w:hint="default"/>
      </w:rPr>
    </w:lvl>
    <w:lvl w:ilvl="1" w:tplc="372616D0" w:tentative="1">
      <w:start w:val="1"/>
      <w:numFmt w:val="bullet"/>
      <w:lvlText w:val="o"/>
      <w:lvlJc w:val="left"/>
      <w:pPr>
        <w:ind w:left="1440" w:hanging="360"/>
      </w:pPr>
      <w:rPr>
        <w:rFonts w:ascii="Courier New" w:hAnsi="Courier New" w:cs="Courier New" w:hint="default"/>
      </w:rPr>
    </w:lvl>
    <w:lvl w:ilvl="2" w:tplc="84C640AC" w:tentative="1">
      <w:start w:val="1"/>
      <w:numFmt w:val="bullet"/>
      <w:lvlText w:val=""/>
      <w:lvlJc w:val="left"/>
      <w:pPr>
        <w:ind w:left="2160" w:hanging="360"/>
      </w:pPr>
      <w:rPr>
        <w:rFonts w:ascii="Wingdings" w:hAnsi="Wingdings" w:hint="default"/>
      </w:rPr>
    </w:lvl>
    <w:lvl w:ilvl="3" w:tplc="883CE4C6" w:tentative="1">
      <w:start w:val="1"/>
      <w:numFmt w:val="bullet"/>
      <w:lvlText w:val=""/>
      <w:lvlJc w:val="left"/>
      <w:pPr>
        <w:ind w:left="2880" w:hanging="360"/>
      </w:pPr>
      <w:rPr>
        <w:rFonts w:ascii="Symbol" w:hAnsi="Symbol" w:hint="default"/>
      </w:rPr>
    </w:lvl>
    <w:lvl w:ilvl="4" w:tplc="0F16009E" w:tentative="1">
      <w:start w:val="1"/>
      <w:numFmt w:val="bullet"/>
      <w:lvlText w:val="o"/>
      <w:lvlJc w:val="left"/>
      <w:pPr>
        <w:ind w:left="3600" w:hanging="360"/>
      </w:pPr>
      <w:rPr>
        <w:rFonts w:ascii="Courier New" w:hAnsi="Courier New" w:cs="Courier New" w:hint="default"/>
      </w:rPr>
    </w:lvl>
    <w:lvl w:ilvl="5" w:tplc="08945A1C" w:tentative="1">
      <w:start w:val="1"/>
      <w:numFmt w:val="bullet"/>
      <w:lvlText w:val=""/>
      <w:lvlJc w:val="left"/>
      <w:pPr>
        <w:ind w:left="4320" w:hanging="360"/>
      </w:pPr>
      <w:rPr>
        <w:rFonts w:ascii="Wingdings" w:hAnsi="Wingdings" w:hint="default"/>
      </w:rPr>
    </w:lvl>
    <w:lvl w:ilvl="6" w:tplc="47D08546" w:tentative="1">
      <w:start w:val="1"/>
      <w:numFmt w:val="bullet"/>
      <w:lvlText w:val=""/>
      <w:lvlJc w:val="left"/>
      <w:pPr>
        <w:ind w:left="5040" w:hanging="360"/>
      </w:pPr>
      <w:rPr>
        <w:rFonts w:ascii="Symbol" w:hAnsi="Symbol" w:hint="default"/>
      </w:rPr>
    </w:lvl>
    <w:lvl w:ilvl="7" w:tplc="47F25BA4" w:tentative="1">
      <w:start w:val="1"/>
      <w:numFmt w:val="bullet"/>
      <w:lvlText w:val="o"/>
      <w:lvlJc w:val="left"/>
      <w:pPr>
        <w:ind w:left="5760" w:hanging="360"/>
      </w:pPr>
      <w:rPr>
        <w:rFonts w:ascii="Courier New" w:hAnsi="Courier New" w:cs="Courier New" w:hint="default"/>
      </w:rPr>
    </w:lvl>
    <w:lvl w:ilvl="8" w:tplc="1646F440" w:tentative="1">
      <w:start w:val="1"/>
      <w:numFmt w:val="bullet"/>
      <w:lvlText w:val=""/>
      <w:lvlJc w:val="left"/>
      <w:pPr>
        <w:ind w:left="6480" w:hanging="360"/>
      </w:pPr>
      <w:rPr>
        <w:rFonts w:ascii="Wingdings" w:hAnsi="Wingdings" w:hint="default"/>
      </w:rPr>
    </w:lvl>
  </w:abstractNum>
  <w:abstractNum w:abstractNumId="13" w15:restartNumberingAfterBreak="0">
    <w:nsid w:val="28BB52DE"/>
    <w:multiLevelType w:val="multilevel"/>
    <w:tmpl w:val="3F72538C"/>
    <w:lvl w:ilvl="0">
      <w:start w:val="1"/>
      <w:numFmt w:val="decimal"/>
      <w:pStyle w:val="Paragraphe"/>
      <w:lvlText w:val="[%1]"/>
      <w:lvlJc w:val="left"/>
      <w:pPr>
        <w:tabs>
          <w:tab w:val="num" w:pos="720"/>
        </w:tabs>
        <w:ind w:left="0" w:firstLine="0"/>
      </w:pPr>
      <w:rPr>
        <w:rFonts w:hint="default"/>
        <w:sz w:val="24"/>
        <w:szCs w:val="24"/>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29B11B71"/>
    <w:multiLevelType w:val="multilevel"/>
    <w:tmpl w:val="78E43A60"/>
    <w:name w:val="Style1"/>
    <w:styleLink w:val="Style1"/>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5" w15:restartNumberingAfterBreak="0">
    <w:nsid w:val="34D346E6"/>
    <w:multiLevelType w:val="hybridMultilevel"/>
    <w:tmpl w:val="B0B6DB24"/>
    <w:lvl w:ilvl="0" w:tplc="0C0C0003">
      <w:start w:val="1"/>
      <w:numFmt w:val="bullet"/>
      <w:lvlText w:val="o"/>
      <w:lvlJc w:val="left"/>
      <w:pPr>
        <w:ind w:left="1872" w:hanging="360"/>
      </w:pPr>
      <w:rPr>
        <w:rFonts w:ascii="Courier New" w:hAnsi="Courier New" w:cs="Courier New" w:hint="default"/>
      </w:rPr>
    </w:lvl>
    <w:lvl w:ilvl="1" w:tplc="FFFFFFFF">
      <w:start w:val="1"/>
      <w:numFmt w:val="bullet"/>
      <w:lvlText w:val="o"/>
      <w:lvlJc w:val="left"/>
      <w:pPr>
        <w:ind w:left="2592" w:hanging="360"/>
      </w:pPr>
      <w:rPr>
        <w:rFonts w:ascii="Courier New" w:hAnsi="Courier New" w:cs="Courier New" w:hint="default"/>
      </w:rPr>
    </w:lvl>
    <w:lvl w:ilvl="2" w:tplc="FFFFFFFF" w:tentative="1">
      <w:start w:val="1"/>
      <w:numFmt w:val="bullet"/>
      <w:lvlText w:val=""/>
      <w:lvlJc w:val="left"/>
      <w:pPr>
        <w:ind w:left="3312" w:hanging="360"/>
      </w:pPr>
      <w:rPr>
        <w:rFonts w:ascii="Wingdings" w:hAnsi="Wingdings" w:hint="default"/>
      </w:rPr>
    </w:lvl>
    <w:lvl w:ilvl="3" w:tplc="FFFFFFFF" w:tentative="1">
      <w:start w:val="1"/>
      <w:numFmt w:val="bullet"/>
      <w:lvlText w:val=""/>
      <w:lvlJc w:val="left"/>
      <w:pPr>
        <w:ind w:left="4032" w:hanging="360"/>
      </w:pPr>
      <w:rPr>
        <w:rFonts w:ascii="Symbol" w:hAnsi="Symbol" w:hint="default"/>
      </w:rPr>
    </w:lvl>
    <w:lvl w:ilvl="4" w:tplc="FFFFFFFF" w:tentative="1">
      <w:start w:val="1"/>
      <w:numFmt w:val="bullet"/>
      <w:lvlText w:val="o"/>
      <w:lvlJc w:val="left"/>
      <w:pPr>
        <w:ind w:left="4752" w:hanging="360"/>
      </w:pPr>
      <w:rPr>
        <w:rFonts w:ascii="Courier New" w:hAnsi="Courier New" w:cs="Courier New" w:hint="default"/>
      </w:rPr>
    </w:lvl>
    <w:lvl w:ilvl="5" w:tplc="FFFFFFFF" w:tentative="1">
      <w:start w:val="1"/>
      <w:numFmt w:val="bullet"/>
      <w:lvlText w:val=""/>
      <w:lvlJc w:val="left"/>
      <w:pPr>
        <w:ind w:left="5472" w:hanging="360"/>
      </w:pPr>
      <w:rPr>
        <w:rFonts w:ascii="Wingdings" w:hAnsi="Wingdings" w:hint="default"/>
      </w:rPr>
    </w:lvl>
    <w:lvl w:ilvl="6" w:tplc="FFFFFFFF" w:tentative="1">
      <w:start w:val="1"/>
      <w:numFmt w:val="bullet"/>
      <w:lvlText w:val=""/>
      <w:lvlJc w:val="left"/>
      <w:pPr>
        <w:ind w:left="6192" w:hanging="360"/>
      </w:pPr>
      <w:rPr>
        <w:rFonts w:ascii="Symbol" w:hAnsi="Symbol" w:hint="default"/>
      </w:rPr>
    </w:lvl>
    <w:lvl w:ilvl="7" w:tplc="FFFFFFFF" w:tentative="1">
      <w:start w:val="1"/>
      <w:numFmt w:val="bullet"/>
      <w:lvlText w:val="o"/>
      <w:lvlJc w:val="left"/>
      <w:pPr>
        <w:ind w:left="6912" w:hanging="360"/>
      </w:pPr>
      <w:rPr>
        <w:rFonts w:ascii="Courier New" w:hAnsi="Courier New" w:cs="Courier New" w:hint="default"/>
      </w:rPr>
    </w:lvl>
    <w:lvl w:ilvl="8" w:tplc="FFFFFFFF" w:tentative="1">
      <w:start w:val="1"/>
      <w:numFmt w:val="bullet"/>
      <w:lvlText w:val=""/>
      <w:lvlJc w:val="left"/>
      <w:pPr>
        <w:ind w:left="7632" w:hanging="360"/>
      </w:pPr>
      <w:rPr>
        <w:rFonts w:ascii="Wingdings" w:hAnsi="Wingdings" w:hint="default"/>
      </w:rPr>
    </w:lvl>
  </w:abstractNum>
  <w:abstractNum w:abstractNumId="16" w15:restartNumberingAfterBreak="0">
    <w:nsid w:val="34D458E7"/>
    <w:multiLevelType w:val="hybridMultilevel"/>
    <w:tmpl w:val="08ACFA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A9D1B84"/>
    <w:multiLevelType w:val="multilevel"/>
    <w:tmpl w:val="2766DEE4"/>
    <w:lvl w:ilvl="0">
      <w:start w:val="1"/>
      <w:numFmt w:val="bullet"/>
      <w:lvlText w:val=""/>
      <w:lvlJc w:val="left"/>
      <w:pPr>
        <w:tabs>
          <w:tab w:val="num" w:pos="792"/>
        </w:tabs>
        <w:ind w:left="792" w:hanging="72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609C0DCC"/>
    <w:multiLevelType w:val="multilevel"/>
    <w:tmpl w:val="F11C8164"/>
    <w:lvl w:ilvl="0">
      <w:start w:val="1"/>
      <w:numFmt w:val="decimal"/>
      <w:lvlText w:val="[%1]"/>
      <w:lvlJc w:val="left"/>
      <w:pPr>
        <w:tabs>
          <w:tab w:val="num" w:pos="360"/>
        </w:tabs>
        <w:ind w:left="0" w:firstLine="0"/>
      </w:pPr>
      <w:rPr>
        <w:rFonts w:ascii="Arial" w:hAnsi="Arial" w:hint="default"/>
        <w:b w:val="0"/>
        <w:i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60A02032"/>
    <w:multiLevelType w:val="hybridMultilevel"/>
    <w:tmpl w:val="8FCC0362"/>
    <w:lvl w:ilvl="0" w:tplc="D4344D04">
      <w:start w:val="1"/>
      <w:numFmt w:val="bullet"/>
      <w:lvlText w:val=""/>
      <w:lvlJc w:val="left"/>
      <w:pPr>
        <w:ind w:left="1451" w:hanging="360"/>
      </w:pPr>
      <w:rPr>
        <w:rFonts w:ascii="Symbol" w:hAnsi="Symbol" w:hint="default"/>
      </w:rPr>
    </w:lvl>
    <w:lvl w:ilvl="1" w:tplc="0C4E69C8" w:tentative="1">
      <w:start w:val="1"/>
      <w:numFmt w:val="bullet"/>
      <w:lvlText w:val="o"/>
      <w:lvlJc w:val="left"/>
      <w:pPr>
        <w:ind w:left="2171" w:hanging="360"/>
      </w:pPr>
      <w:rPr>
        <w:rFonts w:ascii="Courier New" w:hAnsi="Courier New" w:cs="Courier New" w:hint="default"/>
      </w:rPr>
    </w:lvl>
    <w:lvl w:ilvl="2" w:tplc="BEE02ABE" w:tentative="1">
      <w:start w:val="1"/>
      <w:numFmt w:val="bullet"/>
      <w:lvlText w:val=""/>
      <w:lvlJc w:val="left"/>
      <w:pPr>
        <w:ind w:left="2891" w:hanging="360"/>
      </w:pPr>
      <w:rPr>
        <w:rFonts w:ascii="Wingdings" w:hAnsi="Wingdings" w:hint="default"/>
      </w:rPr>
    </w:lvl>
    <w:lvl w:ilvl="3" w:tplc="22741476" w:tentative="1">
      <w:start w:val="1"/>
      <w:numFmt w:val="bullet"/>
      <w:lvlText w:val=""/>
      <w:lvlJc w:val="left"/>
      <w:pPr>
        <w:ind w:left="3611" w:hanging="360"/>
      </w:pPr>
      <w:rPr>
        <w:rFonts w:ascii="Symbol" w:hAnsi="Symbol" w:hint="default"/>
      </w:rPr>
    </w:lvl>
    <w:lvl w:ilvl="4" w:tplc="6EAC30C0" w:tentative="1">
      <w:start w:val="1"/>
      <w:numFmt w:val="bullet"/>
      <w:lvlText w:val="o"/>
      <w:lvlJc w:val="left"/>
      <w:pPr>
        <w:ind w:left="4331" w:hanging="360"/>
      </w:pPr>
      <w:rPr>
        <w:rFonts w:ascii="Courier New" w:hAnsi="Courier New" w:cs="Courier New" w:hint="default"/>
      </w:rPr>
    </w:lvl>
    <w:lvl w:ilvl="5" w:tplc="9C8068B8" w:tentative="1">
      <w:start w:val="1"/>
      <w:numFmt w:val="bullet"/>
      <w:lvlText w:val=""/>
      <w:lvlJc w:val="left"/>
      <w:pPr>
        <w:ind w:left="5051" w:hanging="360"/>
      </w:pPr>
      <w:rPr>
        <w:rFonts w:ascii="Wingdings" w:hAnsi="Wingdings" w:hint="default"/>
      </w:rPr>
    </w:lvl>
    <w:lvl w:ilvl="6" w:tplc="F918D518" w:tentative="1">
      <w:start w:val="1"/>
      <w:numFmt w:val="bullet"/>
      <w:lvlText w:val=""/>
      <w:lvlJc w:val="left"/>
      <w:pPr>
        <w:ind w:left="5771" w:hanging="360"/>
      </w:pPr>
      <w:rPr>
        <w:rFonts w:ascii="Symbol" w:hAnsi="Symbol" w:hint="default"/>
      </w:rPr>
    </w:lvl>
    <w:lvl w:ilvl="7" w:tplc="977ABB16" w:tentative="1">
      <w:start w:val="1"/>
      <w:numFmt w:val="bullet"/>
      <w:lvlText w:val="o"/>
      <w:lvlJc w:val="left"/>
      <w:pPr>
        <w:ind w:left="6491" w:hanging="360"/>
      </w:pPr>
      <w:rPr>
        <w:rFonts w:ascii="Courier New" w:hAnsi="Courier New" w:cs="Courier New" w:hint="default"/>
      </w:rPr>
    </w:lvl>
    <w:lvl w:ilvl="8" w:tplc="B6E61860" w:tentative="1">
      <w:start w:val="1"/>
      <w:numFmt w:val="bullet"/>
      <w:lvlText w:val=""/>
      <w:lvlJc w:val="left"/>
      <w:pPr>
        <w:ind w:left="7211" w:hanging="360"/>
      </w:pPr>
      <w:rPr>
        <w:rFonts w:ascii="Wingdings" w:hAnsi="Wingdings" w:hint="default"/>
      </w:rPr>
    </w:lvl>
  </w:abstractNum>
  <w:abstractNum w:abstractNumId="20" w15:restartNumberingAfterBreak="0">
    <w:nsid w:val="652D3756"/>
    <w:multiLevelType w:val="hybridMultilevel"/>
    <w:tmpl w:val="43A8EEFC"/>
    <w:lvl w:ilvl="0" w:tplc="DC22A102">
      <w:start w:val="1"/>
      <w:numFmt w:val="bullet"/>
      <w:lvlText w:val=""/>
      <w:lvlJc w:val="left"/>
      <w:pPr>
        <w:ind w:left="1451" w:hanging="360"/>
      </w:pPr>
      <w:rPr>
        <w:rFonts w:ascii="Symbol" w:hAnsi="Symbol" w:hint="default"/>
      </w:rPr>
    </w:lvl>
    <w:lvl w:ilvl="1" w:tplc="5B66D42A" w:tentative="1">
      <w:start w:val="1"/>
      <w:numFmt w:val="bullet"/>
      <w:lvlText w:val="o"/>
      <w:lvlJc w:val="left"/>
      <w:pPr>
        <w:ind w:left="2171" w:hanging="360"/>
      </w:pPr>
      <w:rPr>
        <w:rFonts w:ascii="Courier New" w:hAnsi="Courier New" w:cs="Courier New" w:hint="default"/>
      </w:rPr>
    </w:lvl>
    <w:lvl w:ilvl="2" w:tplc="03B23370" w:tentative="1">
      <w:start w:val="1"/>
      <w:numFmt w:val="bullet"/>
      <w:lvlText w:val=""/>
      <w:lvlJc w:val="left"/>
      <w:pPr>
        <w:ind w:left="2891" w:hanging="360"/>
      </w:pPr>
      <w:rPr>
        <w:rFonts w:ascii="Wingdings" w:hAnsi="Wingdings" w:hint="default"/>
      </w:rPr>
    </w:lvl>
    <w:lvl w:ilvl="3" w:tplc="D222E318" w:tentative="1">
      <w:start w:val="1"/>
      <w:numFmt w:val="bullet"/>
      <w:lvlText w:val=""/>
      <w:lvlJc w:val="left"/>
      <w:pPr>
        <w:ind w:left="3611" w:hanging="360"/>
      </w:pPr>
      <w:rPr>
        <w:rFonts w:ascii="Symbol" w:hAnsi="Symbol" w:hint="default"/>
      </w:rPr>
    </w:lvl>
    <w:lvl w:ilvl="4" w:tplc="9A008C96" w:tentative="1">
      <w:start w:val="1"/>
      <w:numFmt w:val="bullet"/>
      <w:lvlText w:val="o"/>
      <w:lvlJc w:val="left"/>
      <w:pPr>
        <w:ind w:left="4331" w:hanging="360"/>
      </w:pPr>
      <w:rPr>
        <w:rFonts w:ascii="Courier New" w:hAnsi="Courier New" w:cs="Courier New" w:hint="default"/>
      </w:rPr>
    </w:lvl>
    <w:lvl w:ilvl="5" w:tplc="E31C4BD0" w:tentative="1">
      <w:start w:val="1"/>
      <w:numFmt w:val="bullet"/>
      <w:lvlText w:val=""/>
      <w:lvlJc w:val="left"/>
      <w:pPr>
        <w:ind w:left="5051" w:hanging="360"/>
      </w:pPr>
      <w:rPr>
        <w:rFonts w:ascii="Wingdings" w:hAnsi="Wingdings" w:hint="default"/>
      </w:rPr>
    </w:lvl>
    <w:lvl w:ilvl="6" w:tplc="D0889D22" w:tentative="1">
      <w:start w:val="1"/>
      <w:numFmt w:val="bullet"/>
      <w:lvlText w:val=""/>
      <w:lvlJc w:val="left"/>
      <w:pPr>
        <w:ind w:left="5771" w:hanging="360"/>
      </w:pPr>
      <w:rPr>
        <w:rFonts w:ascii="Symbol" w:hAnsi="Symbol" w:hint="default"/>
      </w:rPr>
    </w:lvl>
    <w:lvl w:ilvl="7" w:tplc="CDDADFB0" w:tentative="1">
      <w:start w:val="1"/>
      <w:numFmt w:val="bullet"/>
      <w:lvlText w:val="o"/>
      <w:lvlJc w:val="left"/>
      <w:pPr>
        <w:ind w:left="6491" w:hanging="360"/>
      </w:pPr>
      <w:rPr>
        <w:rFonts w:ascii="Courier New" w:hAnsi="Courier New" w:cs="Courier New" w:hint="default"/>
      </w:rPr>
    </w:lvl>
    <w:lvl w:ilvl="8" w:tplc="17DC9B80" w:tentative="1">
      <w:start w:val="1"/>
      <w:numFmt w:val="bullet"/>
      <w:lvlText w:val=""/>
      <w:lvlJc w:val="left"/>
      <w:pPr>
        <w:ind w:left="7211" w:hanging="360"/>
      </w:pPr>
      <w:rPr>
        <w:rFonts w:ascii="Wingdings" w:hAnsi="Wingdings" w:hint="default"/>
      </w:rPr>
    </w:lvl>
  </w:abstractNum>
  <w:abstractNum w:abstractNumId="21" w15:restartNumberingAfterBreak="0">
    <w:nsid w:val="672300FF"/>
    <w:multiLevelType w:val="hybridMultilevel"/>
    <w:tmpl w:val="A1189AAC"/>
    <w:lvl w:ilvl="0" w:tplc="3C94688E">
      <w:start w:val="1"/>
      <w:numFmt w:val="bullet"/>
      <w:lvlText w:val=""/>
      <w:lvlJc w:val="left"/>
      <w:pPr>
        <w:ind w:left="720" w:hanging="360"/>
      </w:pPr>
      <w:rPr>
        <w:rFonts w:ascii="Symbol" w:hAnsi="Symbol" w:hint="default"/>
      </w:rPr>
    </w:lvl>
    <w:lvl w:ilvl="1" w:tplc="72F215B4" w:tentative="1">
      <w:start w:val="1"/>
      <w:numFmt w:val="bullet"/>
      <w:lvlText w:val="o"/>
      <w:lvlJc w:val="left"/>
      <w:pPr>
        <w:ind w:left="1440" w:hanging="360"/>
      </w:pPr>
      <w:rPr>
        <w:rFonts w:ascii="Courier New" w:hAnsi="Courier New" w:cs="Courier New" w:hint="default"/>
      </w:rPr>
    </w:lvl>
    <w:lvl w:ilvl="2" w:tplc="0E30A568" w:tentative="1">
      <w:start w:val="1"/>
      <w:numFmt w:val="bullet"/>
      <w:lvlText w:val=""/>
      <w:lvlJc w:val="left"/>
      <w:pPr>
        <w:ind w:left="2160" w:hanging="360"/>
      </w:pPr>
      <w:rPr>
        <w:rFonts w:ascii="Wingdings" w:hAnsi="Wingdings" w:hint="default"/>
      </w:rPr>
    </w:lvl>
    <w:lvl w:ilvl="3" w:tplc="1F267966" w:tentative="1">
      <w:start w:val="1"/>
      <w:numFmt w:val="bullet"/>
      <w:lvlText w:val=""/>
      <w:lvlJc w:val="left"/>
      <w:pPr>
        <w:ind w:left="2880" w:hanging="360"/>
      </w:pPr>
      <w:rPr>
        <w:rFonts w:ascii="Symbol" w:hAnsi="Symbol" w:hint="default"/>
      </w:rPr>
    </w:lvl>
    <w:lvl w:ilvl="4" w:tplc="AFD64022" w:tentative="1">
      <w:start w:val="1"/>
      <w:numFmt w:val="bullet"/>
      <w:lvlText w:val="o"/>
      <w:lvlJc w:val="left"/>
      <w:pPr>
        <w:ind w:left="3600" w:hanging="360"/>
      </w:pPr>
      <w:rPr>
        <w:rFonts w:ascii="Courier New" w:hAnsi="Courier New" w:cs="Courier New" w:hint="default"/>
      </w:rPr>
    </w:lvl>
    <w:lvl w:ilvl="5" w:tplc="C49C5046" w:tentative="1">
      <w:start w:val="1"/>
      <w:numFmt w:val="bullet"/>
      <w:lvlText w:val=""/>
      <w:lvlJc w:val="left"/>
      <w:pPr>
        <w:ind w:left="4320" w:hanging="360"/>
      </w:pPr>
      <w:rPr>
        <w:rFonts w:ascii="Wingdings" w:hAnsi="Wingdings" w:hint="default"/>
      </w:rPr>
    </w:lvl>
    <w:lvl w:ilvl="6" w:tplc="11067DF4" w:tentative="1">
      <w:start w:val="1"/>
      <w:numFmt w:val="bullet"/>
      <w:lvlText w:val=""/>
      <w:lvlJc w:val="left"/>
      <w:pPr>
        <w:ind w:left="5040" w:hanging="360"/>
      </w:pPr>
      <w:rPr>
        <w:rFonts w:ascii="Symbol" w:hAnsi="Symbol" w:hint="default"/>
      </w:rPr>
    </w:lvl>
    <w:lvl w:ilvl="7" w:tplc="7ECA6B9E" w:tentative="1">
      <w:start w:val="1"/>
      <w:numFmt w:val="bullet"/>
      <w:lvlText w:val="o"/>
      <w:lvlJc w:val="left"/>
      <w:pPr>
        <w:ind w:left="5760" w:hanging="360"/>
      </w:pPr>
      <w:rPr>
        <w:rFonts w:ascii="Courier New" w:hAnsi="Courier New" w:cs="Courier New" w:hint="default"/>
      </w:rPr>
    </w:lvl>
    <w:lvl w:ilvl="8" w:tplc="EC424996" w:tentative="1">
      <w:start w:val="1"/>
      <w:numFmt w:val="bullet"/>
      <w:lvlText w:val=""/>
      <w:lvlJc w:val="left"/>
      <w:pPr>
        <w:ind w:left="6480" w:hanging="360"/>
      </w:pPr>
      <w:rPr>
        <w:rFonts w:ascii="Wingdings" w:hAnsi="Wingdings" w:hint="default"/>
      </w:rPr>
    </w:lvl>
  </w:abstractNum>
  <w:abstractNum w:abstractNumId="22" w15:restartNumberingAfterBreak="0">
    <w:nsid w:val="74105FC9"/>
    <w:multiLevelType w:val="hybridMultilevel"/>
    <w:tmpl w:val="F662C2A6"/>
    <w:lvl w:ilvl="0" w:tplc="A030FBD8">
      <w:start w:val="1"/>
      <w:numFmt w:val="bullet"/>
      <w:lvlText w:val=""/>
      <w:lvlJc w:val="left"/>
      <w:pPr>
        <w:ind w:left="1872" w:hanging="360"/>
      </w:pPr>
      <w:rPr>
        <w:rFonts w:ascii="Wingdings" w:hAnsi="Wingdings" w:hint="default"/>
      </w:rPr>
    </w:lvl>
    <w:lvl w:ilvl="1" w:tplc="46F21922">
      <w:start w:val="1"/>
      <w:numFmt w:val="bullet"/>
      <w:lvlText w:val="o"/>
      <w:lvlJc w:val="left"/>
      <w:pPr>
        <w:ind w:left="2592" w:hanging="360"/>
      </w:pPr>
      <w:rPr>
        <w:rFonts w:ascii="Courier New" w:hAnsi="Courier New" w:cs="Courier New" w:hint="default"/>
      </w:rPr>
    </w:lvl>
    <w:lvl w:ilvl="2" w:tplc="7092EC5C" w:tentative="1">
      <w:start w:val="1"/>
      <w:numFmt w:val="bullet"/>
      <w:lvlText w:val=""/>
      <w:lvlJc w:val="left"/>
      <w:pPr>
        <w:ind w:left="3312" w:hanging="360"/>
      </w:pPr>
      <w:rPr>
        <w:rFonts w:ascii="Wingdings" w:hAnsi="Wingdings" w:hint="default"/>
      </w:rPr>
    </w:lvl>
    <w:lvl w:ilvl="3" w:tplc="04BE4F2A" w:tentative="1">
      <w:start w:val="1"/>
      <w:numFmt w:val="bullet"/>
      <w:lvlText w:val=""/>
      <w:lvlJc w:val="left"/>
      <w:pPr>
        <w:ind w:left="4032" w:hanging="360"/>
      </w:pPr>
      <w:rPr>
        <w:rFonts w:ascii="Symbol" w:hAnsi="Symbol" w:hint="default"/>
      </w:rPr>
    </w:lvl>
    <w:lvl w:ilvl="4" w:tplc="58587A48" w:tentative="1">
      <w:start w:val="1"/>
      <w:numFmt w:val="bullet"/>
      <w:lvlText w:val="o"/>
      <w:lvlJc w:val="left"/>
      <w:pPr>
        <w:ind w:left="4752" w:hanging="360"/>
      </w:pPr>
      <w:rPr>
        <w:rFonts w:ascii="Courier New" w:hAnsi="Courier New" w:cs="Courier New" w:hint="default"/>
      </w:rPr>
    </w:lvl>
    <w:lvl w:ilvl="5" w:tplc="8C74C95C" w:tentative="1">
      <w:start w:val="1"/>
      <w:numFmt w:val="bullet"/>
      <w:lvlText w:val=""/>
      <w:lvlJc w:val="left"/>
      <w:pPr>
        <w:ind w:left="5472" w:hanging="360"/>
      </w:pPr>
      <w:rPr>
        <w:rFonts w:ascii="Wingdings" w:hAnsi="Wingdings" w:hint="default"/>
      </w:rPr>
    </w:lvl>
    <w:lvl w:ilvl="6" w:tplc="651A0D78" w:tentative="1">
      <w:start w:val="1"/>
      <w:numFmt w:val="bullet"/>
      <w:lvlText w:val=""/>
      <w:lvlJc w:val="left"/>
      <w:pPr>
        <w:ind w:left="6192" w:hanging="360"/>
      </w:pPr>
      <w:rPr>
        <w:rFonts w:ascii="Symbol" w:hAnsi="Symbol" w:hint="default"/>
      </w:rPr>
    </w:lvl>
    <w:lvl w:ilvl="7" w:tplc="1C6EF8C0" w:tentative="1">
      <w:start w:val="1"/>
      <w:numFmt w:val="bullet"/>
      <w:lvlText w:val="o"/>
      <w:lvlJc w:val="left"/>
      <w:pPr>
        <w:ind w:left="6912" w:hanging="360"/>
      </w:pPr>
      <w:rPr>
        <w:rFonts w:ascii="Courier New" w:hAnsi="Courier New" w:cs="Courier New" w:hint="default"/>
      </w:rPr>
    </w:lvl>
    <w:lvl w:ilvl="8" w:tplc="79983B20" w:tentative="1">
      <w:start w:val="1"/>
      <w:numFmt w:val="bullet"/>
      <w:lvlText w:val=""/>
      <w:lvlJc w:val="left"/>
      <w:pPr>
        <w:ind w:left="7632" w:hanging="360"/>
      </w:pPr>
      <w:rPr>
        <w:rFonts w:ascii="Wingdings" w:hAnsi="Wingdings" w:hint="default"/>
      </w:rPr>
    </w:lvl>
  </w:abstractNum>
  <w:abstractNum w:abstractNumId="23" w15:restartNumberingAfterBreak="0">
    <w:nsid w:val="76F96F3E"/>
    <w:multiLevelType w:val="hybridMultilevel"/>
    <w:tmpl w:val="DF1260AC"/>
    <w:lvl w:ilvl="0" w:tplc="0C0C0017">
      <w:start w:val="1"/>
      <w:numFmt w:val="low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num w:numId="1" w16cid:durableId="1005744867">
    <w:abstractNumId w:val="18"/>
  </w:num>
  <w:num w:numId="2" w16cid:durableId="2126729408">
    <w:abstractNumId w:val="18"/>
  </w:num>
  <w:num w:numId="3" w16cid:durableId="1932200708">
    <w:abstractNumId w:val="18"/>
  </w:num>
  <w:num w:numId="4" w16cid:durableId="1181696905">
    <w:abstractNumId w:val="8"/>
  </w:num>
  <w:num w:numId="5" w16cid:durableId="480579356">
    <w:abstractNumId w:val="3"/>
  </w:num>
  <w:num w:numId="6" w16cid:durableId="827285401">
    <w:abstractNumId w:val="2"/>
  </w:num>
  <w:num w:numId="7" w16cid:durableId="1914662429">
    <w:abstractNumId w:val="1"/>
  </w:num>
  <w:num w:numId="8" w16cid:durableId="2108848720">
    <w:abstractNumId w:val="0"/>
  </w:num>
  <w:num w:numId="9" w16cid:durableId="1457991691">
    <w:abstractNumId w:val="9"/>
  </w:num>
  <w:num w:numId="10" w16cid:durableId="1496067544">
    <w:abstractNumId w:val="7"/>
  </w:num>
  <w:num w:numId="11" w16cid:durableId="1404836006">
    <w:abstractNumId w:val="6"/>
  </w:num>
  <w:num w:numId="12" w16cid:durableId="401564615">
    <w:abstractNumId w:val="5"/>
  </w:num>
  <w:num w:numId="13" w16cid:durableId="1963922308">
    <w:abstractNumId w:val="4"/>
  </w:num>
  <w:num w:numId="14" w16cid:durableId="101456703">
    <w:abstractNumId w:val="18"/>
  </w:num>
  <w:num w:numId="15" w16cid:durableId="1382091185">
    <w:abstractNumId w:val="18"/>
  </w:num>
  <w:num w:numId="16" w16cid:durableId="1993637402">
    <w:abstractNumId w:val="18"/>
  </w:num>
  <w:num w:numId="17" w16cid:durableId="1263806435">
    <w:abstractNumId w:val="17"/>
  </w:num>
  <w:num w:numId="18" w16cid:durableId="43604593">
    <w:abstractNumId w:val="13"/>
  </w:num>
  <w:num w:numId="19" w16cid:durableId="1771117482">
    <w:abstractNumId w:val="21"/>
  </w:num>
  <w:num w:numId="20" w16cid:durableId="222640655">
    <w:abstractNumId w:val="14"/>
  </w:num>
  <w:num w:numId="21" w16cid:durableId="2096781740">
    <w:abstractNumId w:val="12"/>
  </w:num>
  <w:num w:numId="22" w16cid:durableId="242955376">
    <w:abstractNumId w:val="20"/>
  </w:num>
  <w:num w:numId="23" w16cid:durableId="1493712430">
    <w:abstractNumId w:val="19"/>
  </w:num>
  <w:num w:numId="24" w16cid:durableId="243150654">
    <w:abstractNumId w:val="11"/>
  </w:num>
  <w:num w:numId="25" w16cid:durableId="1512717596">
    <w:abstractNumId w:val="22"/>
  </w:num>
  <w:num w:numId="26" w16cid:durableId="1084301751">
    <w:abstractNumId w:val="10"/>
  </w:num>
  <w:num w:numId="27" w16cid:durableId="488134897">
    <w:abstractNumId w:val="15"/>
  </w:num>
  <w:num w:numId="28" w16cid:durableId="838739210">
    <w:abstractNumId w:val="16"/>
  </w:num>
  <w:num w:numId="29" w16cid:durableId="6355751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NBChoix" w:val="3"/>
    <w:docVar w:name="MotifJuge1" w:val="MOTIFS DU JUGE"/>
    <w:docVar w:name="MotifJuge2" w:val="MOTIFS DU JUGE"/>
    <w:docVar w:name="MotifJuge3" w:val="MOTIFS DE LA JUGE"/>
    <w:docVar w:name="NomFamJuge1" w:val="MORISSETTE"/>
    <w:docVar w:name="NomFamJuge2" w:val="HEALY"/>
    <w:docVar w:name="NomFamJuge3" w:val="WEITZMAN"/>
    <w:docVar w:name="NomFamJuge4" w:val="MAILHOT"/>
    <w:docVar w:name="NomFamJuge5" w:val="BAUDOUIN"/>
    <w:docVar w:name="QteJuge1" w:val=", J.C.A."/>
    <w:docVar w:name="QteJuge2" w:val=", J.C.A."/>
    <w:docVar w:name="QteJuge3" w:val=", J.C.A."/>
    <w:docVar w:name="stPremiereFois" w:val="Non"/>
  </w:docVars>
  <w:rsids>
    <w:rsidRoot w:val="007F79C4"/>
    <w:rsid w:val="000131E1"/>
    <w:rsid w:val="0004394C"/>
    <w:rsid w:val="00046936"/>
    <w:rsid w:val="00053691"/>
    <w:rsid w:val="000A7516"/>
    <w:rsid w:val="000B42AF"/>
    <w:rsid w:val="00110B53"/>
    <w:rsid w:val="00112321"/>
    <w:rsid w:val="00117914"/>
    <w:rsid w:val="0013028C"/>
    <w:rsid w:val="001327EA"/>
    <w:rsid w:val="0013300A"/>
    <w:rsid w:val="0015610F"/>
    <w:rsid w:val="001604E4"/>
    <w:rsid w:val="00160B31"/>
    <w:rsid w:val="00180695"/>
    <w:rsid w:val="00181F56"/>
    <w:rsid w:val="00190FA7"/>
    <w:rsid w:val="001966C4"/>
    <w:rsid w:val="001972F2"/>
    <w:rsid w:val="00205DC4"/>
    <w:rsid w:val="0021548E"/>
    <w:rsid w:val="002273F5"/>
    <w:rsid w:val="002305FF"/>
    <w:rsid w:val="00270731"/>
    <w:rsid w:val="002A5E79"/>
    <w:rsid w:val="002B4A07"/>
    <w:rsid w:val="002C4107"/>
    <w:rsid w:val="002E1F0E"/>
    <w:rsid w:val="002E229C"/>
    <w:rsid w:val="002E51F1"/>
    <w:rsid w:val="002F1350"/>
    <w:rsid w:val="002F6136"/>
    <w:rsid w:val="0032169E"/>
    <w:rsid w:val="00322DE0"/>
    <w:rsid w:val="0032363D"/>
    <w:rsid w:val="0033190E"/>
    <w:rsid w:val="00361325"/>
    <w:rsid w:val="00374888"/>
    <w:rsid w:val="00374E40"/>
    <w:rsid w:val="00392E75"/>
    <w:rsid w:val="003B1F6B"/>
    <w:rsid w:val="003D487D"/>
    <w:rsid w:val="003D7E2B"/>
    <w:rsid w:val="003E3239"/>
    <w:rsid w:val="003E3E3C"/>
    <w:rsid w:val="003F08ED"/>
    <w:rsid w:val="00423DF1"/>
    <w:rsid w:val="00430C58"/>
    <w:rsid w:val="004331C4"/>
    <w:rsid w:val="0043564D"/>
    <w:rsid w:val="00441C25"/>
    <w:rsid w:val="00446452"/>
    <w:rsid w:val="00446536"/>
    <w:rsid w:val="00472DC8"/>
    <w:rsid w:val="004802EC"/>
    <w:rsid w:val="0049412B"/>
    <w:rsid w:val="004A29F1"/>
    <w:rsid w:val="004A6641"/>
    <w:rsid w:val="004B1E94"/>
    <w:rsid w:val="004B33FF"/>
    <w:rsid w:val="004C7EF1"/>
    <w:rsid w:val="004D2F69"/>
    <w:rsid w:val="004E4FBA"/>
    <w:rsid w:val="00506EEF"/>
    <w:rsid w:val="005131F1"/>
    <w:rsid w:val="0051484F"/>
    <w:rsid w:val="00516B3E"/>
    <w:rsid w:val="005262C9"/>
    <w:rsid w:val="00527923"/>
    <w:rsid w:val="00531D70"/>
    <w:rsid w:val="00566BF6"/>
    <w:rsid w:val="0057592B"/>
    <w:rsid w:val="00583434"/>
    <w:rsid w:val="0058349F"/>
    <w:rsid w:val="005A78BF"/>
    <w:rsid w:val="005B6B4C"/>
    <w:rsid w:val="005C67B6"/>
    <w:rsid w:val="005C7516"/>
    <w:rsid w:val="005D1522"/>
    <w:rsid w:val="005F5F5F"/>
    <w:rsid w:val="00624770"/>
    <w:rsid w:val="00636B8C"/>
    <w:rsid w:val="0064250B"/>
    <w:rsid w:val="006721F8"/>
    <w:rsid w:val="00681B51"/>
    <w:rsid w:val="006826AA"/>
    <w:rsid w:val="0068356A"/>
    <w:rsid w:val="00683CF5"/>
    <w:rsid w:val="006A0DB0"/>
    <w:rsid w:val="006A6629"/>
    <w:rsid w:val="006B0837"/>
    <w:rsid w:val="006D0A55"/>
    <w:rsid w:val="00731787"/>
    <w:rsid w:val="00740A17"/>
    <w:rsid w:val="007462D6"/>
    <w:rsid w:val="0074738B"/>
    <w:rsid w:val="0076062E"/>
    <w:rsid w:val="007901CC"/>
    <w:rsid w:val="00790A30"/>
    <w:rsid w:val="007953F3"/>
    <w:rsid w:val="007A7803"/>
    <w:rsid w:val="007B061E"/>
    <w:rsid w:val="007B48D5"/>
    <w:rsid w:val="007D087C"/>
    <w:rsid w:val="007E33E4"/>
    <w:rsid w:val="007E4CC9"/>
    <w:rsid w:val="007F2148"/>
    <w:rsid w:val="007F40FD"/>
    <w:rsid w:val="007F79C4"/>
    <w:rsid w:val="00800D23"/>
    <w:rsid w:val="00816273"/>
    <w:rsid w:val="00825673"/>
    <w:rsid w:val="0082717B"/>
    <w:rsid w:val="00827B04"/>
    <w:rsid w:val="0083032E"/>
    <w:rsid w:val="00837FBA"/>
    <w:rsid w:val="00841907"/>
    <w:rsid w:val="0086036A"/>
    <w:rsid w:val="008653A3"/>
    <w:rsid w:val="008657A2"/>
    <w:rsid w:val="00866645"/>
    <w:rsid w:val="00882210"/>
    <w:rsid w:val="008A6185"/>
    <w:rsid w:val="008C1FE9"/>
    <w:rsid w:val="008C7DCE"/>
    <w:rsid w:val="008D18FC"/>
    <w:rsid w:val="008D398B"/>
    <w:rsid w:val="008D7E49"/>
    <w:rsid w:val="008E5E9D"/>
    <w:rsid w:val="008F364A"/>
    <w:rsid w:val="008F3F53"/>
    <w:rsid w:val="00913E03"/>
    <w:rsid w:val="009229E9"/>
    <w:rsid w:val="00926953"/>
    <w:rsid w:val="00932703"/>
    <w:rsid w:val="00936469"/>
    <w:rsid w:val="009400B7"/>
    <w:rsid w:val="00942DB0"/>
    <w:rsid w:val="00954DC2"/>
    <w:rsid w:val="00957B92"/>
    <w:rsid w:val="00970966"/>
    <w:rsid w:val="00974442"/>
    <w:rsid w:val="0098419E"/>
    <w:rsid w:val="009B2DF4"/>
    <w:rsid w:val="009C1EA8"/>
    <w:rsid w:val="009D6546"/>
    <w:rsid w:val="009F1F69"/>
    <w:rsid w:val="00A179CD"/>
    <w:rsid w:val="00A23BF4"/>
    <w:rsid w:val="00A2593B"/>
    <w:rsid w:val="00A34E05"/>
    <w:rsid w:val="00A43D8B"/>
    <w:rsid w:val="00A454F1"/>
    <w:rsid w:val="00A475D5"/>
    <w:rsid w:val="00A543CC"/>
    <w:rsid w:val="00A552C8"/>
    <w:rsid w:val="00A93CFF"/>
    <w:rsid w:val="00AB7DD2"/>
    <w:rsid w:val="00AE09B0"/>
    <w:rsid w:val="00AE1B6D"/>
    <w:rsid w:val="00AF0C7C"/>
    <w:rsid w:val="00B01D86"/>
    <w:rsid w:val="00B07E4E"/>
    <w:rsid w:val="00B11FD1"/>
    <w:rsid w:val="00B137E9"/>
    <w:rsid w:val="00B30EA2"/>
    <w:rsid w:val="00B36ED3"/>
    <w:rsid w:val="00B513C9"/>
    <w:rsid w:val="00B56EF4"/>
    <w:rsid w:val="00B64460"/>
    <w:rsid w:val="00B70485"/>
    <w:rsid w:val="00B82A13"/>
    <w:rsid w:val="00B87215"/>
    <w:rsid w:val="00BA0BB9"/>
    <w:rsid w:val="00BF3D3E"/>
    <w:rsid w:val="00C02AF8"/>
    <w:rsid w:val="00C11AD5"/>
    <w:rsid w:val="00C159B6"/>
    <w:rsid w:val="00C17E01"/>
    <w:rsid w:val="00C2160B"/>
    <w:rsid w:val="00C31AC4"/>
    <w:rsid w:val="00C409BE"/>
    <w:rsid w:val="00C423CA"/>
    <w:rsid w:val="00C652ED"/>
    <w:rsid w:val="00C7793C"/>
    <w:rsid w:val="00C91A91"/>
    <w:rsid w:val="00C939A8"/>
    <w:rsid w:val="00C97145"/>
    <w:rsid w:val="00CC5877"/>
    <w:rsid w:val="00CF71E7"/>
    <w:rsid w:val="00D010FD"/>
    <w:rsid w:val="00D02812"/>
    <w:rsid w:val="00D20056"/>
    <w:rsid w:val="00D546D8"/>
    <w:rsid w:val="00D626E1"/>
    <w:rsid w:val="00DB2119"/>
    <w:rsid w:val="00DC05BC"/>
    <w:rsid w:val="00DD3A24"/>
    <w:rsid w:val="00DE01FB"/>
    <w:rsid w:val="00DF3516"/>
    <w:rsid w:val="00E03C07"/>
    <w:rsid w:val="00E05662"/>
    <w:rsid w:val="00E07E81"/>
    <w:rsid w:val="00E20E3C"/>
    <w:rsid w:val="00E23B33"/>
    <w:rsid w:val="00E36290"/>
    <w:rsid w:val="00E576A3"/>
    <w:rsid w:val="00E67302"/>
    <w:rsid w:val="00E81E61"/>
    <w:rsid w:val="00E848B4"/>
    <w:rsid w:val="00E87188"/>
    <w:rsid w:val="00E91417"/>
    <w:rsid w:val="00E91C06"/>
    <w:rsid w:val="00E94329"/>
    <w:rsid w:val="00EA0313"/>
    <w:rsid w:val="00EB1377"/>
    <w:rsid w:val="00EB4836"/>
    <w:rsid w:val="00EC1E33"/>
    <w:rsid w:val="00ED2FF9"/>
    <w:rsid w:val="00F07022"/>
    <w:rsid w:val="00F1119E"/>
    <w:rsid w:val="00F26635"/>
    <w:rsid w:val="00F33E30"/>
    <w:rsid w:val="00F35A34"/>
    <w:rsid w:val="00F40882"/>
    <w:rsid w:val="00F42EEE"/>
    <w:rsid w:val="00F43559"/>
    <w:rsid w:val="00F5789B"/>
    <w:rsid w:val="00F63B93"/>
    <w:rsid w:val="00F75AAB"/>
    <w:rsid w:val="00F75C76"/>
    <w:rsid w:val="00FC720B"/>
    <w:rsid w:val="00FD7A90"/>
    <w:rsid w:val="00FE3FE9"/>
    <w:rsid w:val="00FE6A1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ABC3D"/>
  <w15:chartTrackingRefBased/>
  <w15:docId w15:val="{CEC7BBB8-A504-4911-BFA1-52DB20C80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exact"/>
    </w:pPr>
    <w:rPr>
      <w:rFonts w:ascii="Arial" w:hAnsi="Arial"/>
      <w:sz w:val="24"/>
      <w:lang w:eastAsia="fr-FR"/>
    </w:rPr>
  </w:style>
  <w:style w:type="paragraph" w:styleId="Titre1">
    <w:name w:val="heading 1"/>
    <w:basedOn w:val="Normal"/>
    <w:next w:val="Normal"/>
    <w:link w:val="Titre1Car"/>
    <w:qFormat/>
    <w:pPr>
      <w:keepNext/>
      <w:spacing w:before="240" w:after="60" w:line="500" w:lineRule="exact"/>
      <w:outlineLvl w:val="0"/>
    </w:pPr>
    <w:rPr>
      <w:b/>
      <w:kern w:val="28"/>
      <w:sz w:val="28"/>
    </w:rPr>
  </w:style>
  <w:style w:type="paragraph" w:styleId="Titre2">
    <w:name w:val="heading 2"/>
    <w:basedOn w:val="Normal"/>
    <w:next w:val="Normal"/>
    <w:qFormat/>
    <w:pPr>
      <w:keepNext/>
      <w:spacing w:before="240" w:after="60"/>
      <w:outlineLvl w:val="1"/>
    </w:pPr>
    <w:rPr>
      <w:b/>
      <w:i/>
    </w:rPr>
  </w:style>
  <w:style w:type="paragraph" w:styleId="Titre3">
    <w:name w:val="heading 3"/>
    <w:basedOn w:val="Normal"/>
    <w:next w:val="Normal"/>
    <w:qFormat/>
    <w:pPr>
      <w:keepNext/>
      <w:spacing w:before="240" w:after="60"/>
      <w:outlineLvl w:val="2"/>
    </w:pPr>
  </w:style>
  <w:style w:type="paragraph" w:styleId="Titre4">
    <w:name w:val="heading 4"/>
    <w:basedOn w:val="Normal"/>
    <w:next w:val="Normal"/>
    <w:qFormat/>
    <w:pPr>
      <w:keepNext/>
      <w:spacing w:before="240" w:after="60"/>
      <w:outlineLvl w:val="3"/>
    </w:pPr>
    <w:rPr>
      <w:b/>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rPr>
      <w:sz w:val="20"/>
    </w:rPr>
  </w:style>
  <w:style w:type="paragraph" w:styleId="Titre8">
    <w:name w:val="heading 8"/>
    <w:basedOn w:val="Normal"/>
    <w:next w:val="Normal"/>
    <w:qFormat/>
    <w:pPr>
      <w:spacing w:before="240" w:after="60"/>
      <w:outlineLvl w:val="7"/>
    </w:pPr>
    <w:rPr>
      <w:i/>
      <w:sz w:val="20"/>
    </w:rPr>
  </w:style>
  <w:style w:type="paragraph" w:styleId="Titre9">
    <w:name w:val="heading 9"/>
    <w:basedOn w:val="Normal"/>
    <w:next w:val="Normal"/>
    <w:qFormat/>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link w:val="ParagrapheCar"/>
    <w:qFormat/>
    <w:pPr>
      <w:numPr>
        <w:numId w:val="18"/>
      </w:numPr>
      <w:spacing w:before="120" w:after="120" w:line="500" w:lineRule="exact"/>
      <w:jc w:val="both"/>
    </w:pPr>
    <w:rPr>
      <w:kern w:val="28"/>
    </w:rPr>
  </w:style>
  <w:style w:type="paragraph" w:customStyle="1" w:styleId="Citationenretrait">
    <w:name w:val="Citation en retrait"/>
    <w:basedOn w:val="Normal"/>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semiHidden/>
    <w:pPr>
      <w:spacing w:after="120"/>
    </w:pPr>
  </w:style>
  <w:style w:type="paragraph" w:styleId="Notedebasdepage">
    <w:name w:val="footnote text"/>
    <w:aliases w:val="Footnote Text Char2,Footnote Text Char1 Char,Footnote Text Char Char Char, Char1 Char1 Char Char, Char1 Char2 Char,Footnote Text Char Char1, Char1 Char1 Char1, Char1 Char3,fn,Char Char Char,Char Char,ft,Footnote text,ft2,Char,FA Fu"/>
    <w:basedOn w:val="Normal"/>
    <w:link w:val="NotedebasdepageCar"/>
    <w:qFormat/>
    <w:pPr>
      <w:spacing w:line="240" w:lineRule="auto"/>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spacing w:line="500" w:lineRule="exact"/>
      <w:jc w:val="center"/>
    </w:pPr>
    <w:rPr>
      <w:b/>
      <w:sz w:val="36"/>
    </w:rPr>
  </w:style>
  <w:style w:type="paragraph" w:customStyle="1" w:styleId="zSoquijlblPays">
    <w:name w:val="zSoquij_lblPays"/>
    <w:basedOn w:val="Normal"/>
  </w:style>
  <w:style w:type="paragraph" w:customStyle="1" w:styleId="zSoquijlblProvince">
    <w:name w:val="zSoquij_lblProvince"/>
    <w:basedOn w:val="Normal"/>
  </w:style>
  <w:style w:type="paragraph" w:customStyle="1" w:styleId="zSoquijlblGreffe">
    <w:name w:val="zSoquij_lblGreffe"/>
    <w:basedOn w:val="Normal"/>
  </w:style>
  <w:style w:type="paragraph" w:customStyle="1" w:styleId="zSoquijdatGreffe">
    <w:name w:val="zSoquij_datGreffe"/>
    <w:basedOn w:val="Normal"/>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pPr>
      <w:ind w:left="950"/>
    </w:pPr>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rPr>
      <w:b/>
    </w:rPr>
  </w:style>
  <w:style w:type="paragraph" w:customStyle="1" w:styleId="zSoquijdatQteJuge">
    <w:name w:val="zSoquij_datQteJuge"/>
    <w:basedOn w:val="Normal"/>
    <w:rPr>
      <w:b/>
    </w:rPr>
  </w:style>
  <w:style w:type="paragraph" w:customStyle="1" w:styleId="zSoquijdatJuge">
    <w:name w:val="zSoquij_datJuge"/>
    <w:basedOn w:val="Normal"/>
    <w:rPr>
      <w:b/>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pPr>
      <w:jc w:val="center"/>
    </w:p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jc w:val="center"/>
    </w:pPr>
  </w:style>
  <w:style w:type="character" w:customStyle="1" w:styleId="zSoquijlblEntNoDossier">
    <w:name w:val="zSoquij_lblEntNoDossier"/>
    <w:basedOn w:val="Policepardfaut"/>
    <w:rPr>
      <w:noProof w:val="0"/>
      <w:lang w:val="fr-CA"/>
    </w:rPr>
  </w:style>
  <w:style w:type="paragraph" w:customStyle="1" w:styleId="zSoquijlblTitrePartie">
    <w:name w:val="zSoquij_lblTitrePartie"/>
    <w:basedOn w:val="Normal"/>
  </w:style>
  <w:style w:type="paragraph" w:customStyle="1" w:styleId="zSoquijdatIdJuge">
    <w:name w:val="zSoquij_datIdJuge"/>
    <w:basedOn w:val="Normal"/>
    <w:pPr>
      <w:jc w:val="right"/>
    </w:pPr>
  </w:style>
  <w:style w:type="paragraph" w:customStyle="1" w:styleId="Sous-paragraphe">
    <w:name w:val="Sous-paragraphe"/>
    <w:basedOn w:val="Normal"/>
    <w:qFormat/>
    <w:pPr>
      <w:widowControl w:val="0"/>
      <w:numPr>
        <w:ilvl w:val="1"/>
        <w:numId w:val="18"/>
      </w:numPr>
      <w:spacing w:after="120"/>
      <w:jc w:val="both"/>
    </w:pPr>
    <w:rPr>
      <w:kern w:val="28"/>
    </w:rPr>
  </w:style>
  <w:style w:type="paragraph" w:customStyle="1" w:styleId="zSoquijdatNomProcureurDem">
    <w:name w:val="zSoquij_datNomProcureurDem"/>
    <w:basedOn w:val="zSoquijlblProcureurDem"/>
    <w:pPr>
      <w:keepNext/>
    </w:pPr>
  </w:style>
  <w:style w:type="paragraph" w:customStyle="1" w:styleId="zSoquijdatNomProcureurDef">
    <w:name w:val="zSoquij_datNomProcureurDef"/>
    <w:basedOn w:val="zSoquijlblProcureurDef"/>
    <w:pPr>
      <w:keepNext/>
    </w:pPr>
  </w:style>
  <w:style w:type="paragraph" w:customStyle="1" w:styleId="zSoquijdatCabinetProcureurDem">
    <w:name w:val="zSoquij_datCabinetProcureurDem"/>
    <w:basedOn w:val="Normal"/>
    <w:pPr>
      <w:keepNext/>
    </w:pPr>
  </w:style>
  <w:style w:type="paragraph" w:customStyle="1" w:styleId="zSoquijdatCabinetProcureurDef">
    <w:name w:val="zSoquij_datCabinetProcureurDef"/>
    <w:basedOn w:val="zSoquijlblProcureurDef"/>
    <w:pPr>
      <w:keepNext/>
    </w:pPr>
  </w:style>
  <w:style w:type="paragraph" w:styleId="En-tte">
    <w:name w:val="header"/>
    <w:basedOn w:val="Normal"/>
    <w:link w:val="En-tteCar"/>
    <w:pPr>
      <w:tabs>
        <w:tab w:val="center" w:pos="4320"/>
        <w:tab w:val="right" w:pos="8640"/>
      </w:tabs>
    </w:pPr>
  </w:style>
  <w:style w:type="paragraph" w:styleId="Pieddepage">
    <w:name w:val="footer"/>
    <w:basedOn w:val="Normal"/>
    <w:link w:val="PieddepageCar"/>
    <w:pPr>
      <w:tabs>
        <w:tab w:val="center" w:pos="4320"/>
        <w:tab w:val="right" w:pos="8640"/>
      </w:tabs>
    </w:pPr>
  </w:style>
  <w:style w:type="paragraph" w:customStyle="1" w:styleId="Tableaudroiteanglais">
    <w:name w:val="Tableau droite anglais"/>
    <w:basedOn w:val="Tableaugauchefranais"/>
    <w:pPr>
      <w:ind w:left="144" w:right="720"/>
      <w:jc w:val="both"/>
    </w:pPr>
    <w:rPr>
      <w:lang w:val="en-CA"/>
    </w:rPr>
  </w:style>
  <w:style w:type="paragraph" w:customStyle="1" w:styleId="Tableaugauchefranais">
    <w:name w:val="Tableau gauche français"/>
    <w:basedOn w:val="Normal"/>
    <w:pPr>
      <w:ind w:left="720" w:right="144"/>
    </w:pPr>
    <w:rPr>
      <w:sz w:val="22"/>
    </w:rPr>
  </w:style>
  <w:style w:type="character" w:styleId="Appelnotedebasdep">
    <w:name w:val="footnote reference"/>
    <w:aliases w:val="fr,Ref,de nota al pie,Char Char6 Char Char Char Char Char Char Char Char Char Char Char Char,Char6 Char Char Char Char Char Char Char Char Char Char Char Char Char,Footnote"/>
    <w:uiPriority w:val="99"/>
    <w:qFormat/>
    <w:rPr>
      <w:noProof w:val="0"/>
      <w:vertAlign w:val="superscript"/>
      <w:lang w:val="fr-CA"/>
    </w:rPr>
  </w:style>
  <w:style w:type="paragraph" w:styleId="Corpsdetexte3">
    <w:name w:val="Body Text 3"/>
    <w:basedOn w:val="Normal"/>
    <w:semiHidden/>
    <w:pPr>
      <w:spacing w:after="120"/>
    </w:pPr>
    <w:rPr>
      <w:sz w:val="16"/>
    </w:rPr>
  </w:style>
  <w:style w:type="paragraph" w:customStyle="1" w:styleId="zSoquijdatRepertorie">
    <w:name w:val="zSoquij_datRepertorie"/>
    <w:basedOn w:val="zSoquijlblCour"/>
    <w:pPr>
      <w:spacing w:line="240" w:lineRule="auto"/>
      <w:jc w:val="left"/>
    </w:pPr>
    <w:rPr>
      <w:sz w:val="22"/>
    </w:rPr>
  </w:style>
  <w:style w:type="paragraph" w:customStyle="1" w:styleId="zSoquijdatRefNeutre">
    <w:name w:val="zSoquij_datRefNeutre"/>
    <w:basedOn w:val="zSoquijlblCour"/>
    <w:pPr>
      <w:spacing w:line="240" w:lineRule="auto"/>
      <w:jc w:val="left"/>
    </w:pPr>
    <w:rPr>
      <w:sz w:val="22"/>
    </w:rPr>
  </w:style>
  <w:style w:type="table" w:styleId="Grilledutableau">
    <w:name w:val="Table Grid"/>
    <w:basedOn w:val="TableauNormal"/>
    <w:uiPriority w:val="59"/>
    <w:rsid w:val="00E20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E323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3239"/>
    <w:rPr>
      <w:rFonts w:ascii="Segoe UI" w:hAnsi="Segoe UI" w:cs="Segoe UI"/>
      <w:sz w:val="18"/>
      <w:szCs w:val="18"/>
      <w:lang w:eastAsia="fr-FR"/>
    </w:rPr>
  </w:style>
  <w:style w:type="character" w:customStyle="1" w:styleId="Titre1Car">
    <w:name w:val="Titre 1 Car"/>
    <w:basedOn w:val="Policepardfaut"/>
    <w:link w:val="Titre1"/>
    <w:rsid w:val="00731787"/>
    <w:rPr>
      <w:rFonts w:ascii="Arial" w:hAnsi="Arial"/>
      <w:b/>
      <w:kern w:val="28"/>
      <w:sz w:val="28"/>
      <w:lang w:eastAsia="fr-FR"/>
    </w:rPr>
  </w:style>
  <w:style w:type="character" w:styleId="Marquedecommentaire">
    <w:name w:val="annotation reference"/>
    <w:basedOn w:val="Policepardfaut"/>
    <w:uiPriority w:val="99"/>
    <w:semiHidden/>
    <w:unhideWhenUsed/>
    <w:rsid w:val="00731787"/>
    <w:rPr>
      <w:sz w:val="16"/>
      <w:szCs w:val="16"/>
    </w:rPr>
  </w:style>
  <w:style w:type="paragraph" w:styleId="Commentaire">
    <w:name w:val="annotation text"/>
    <w:basedOn w:val="Normal"/>
    <w:link w:val="CommentaireCar"/>
    <w:uiPriority w:val="99"/>
    <w:unhideWhenUsed/>
    <w:rsid w:val="00731787"/>
    <w:pPr>
      <w:spacing w:line="240" w:lineRule="auto"/>
    </w:pPr>
    <w:rPr>
      <w:sz w:val="20"/>
    </w:rPr>
  </w:style>
  <w:style w:type="character" w:customStyle="1" w:styleId="CommentaireCar">
    <w:name w:val="Commentaire Car"/>
    <w:basedOn w:val="Policepardfaut"/>
    <w:link w:val="Commentaire"/>
    <w:uiPriority w:val="99"/>
    <w:rsid w:val="00731787"/>
    <w:rPr>
      <w:rFonts w:ascii="Arial" w:hAnsi="Arial"/>
      <w:lang w:eastAsia="fr-FR"/>
    </w:rPr>
  </w:style>
  <w:style w:type="paragraph" w:styleId="Objetducommentaire">
    <w:name w:val="annotation subject"/>
    <w:basedOn w:val="Commentaire"/>
    <w:next w:val="Commentaire"/>
    <w:link w:val="ObjetducommentaireCar"/>
    <w:uiPriority w:val="99"/>
    <w:semiHidden/>
    <w:unhideWhenUsed/>
    <w:rsid w:val="00731787"/>
    <w:rPr>
      <w:b/>
      <w:bCs/>
    </w:rPr>
  </w:style>
  <w:style w:type="character" w:customStyle="1" w:styleId="ObjetducommentaireCar">
    <w:name w:val="Objet du commentaire Car"/>
    <w:basedOn w:val="CommentaireCar"/>
    <w:link w:val="Objetducommentaire"/>
    <w:uiPriority w:val="99"/>
    <w:semiHidden/>
    <w:rsid w:val="00731787"/>
    <w:rPr>
      <w:rFonts w:ascii="Arial" w:hAnsi="Arial"/>
      <w:b/>
      <w:bCs/>
      <w:lang w:eastAsia="fr-FR"/>
    </w:rPr>
  </w:style>
  <w:style w:type="paragraph" w:customStyle="1" w:styleId="Paragrdouble">
    <w:name w:val="Paragr. double"/>
    <w:basedOn w:val="Normal"/>
    <w:rsid w:val="005C67B6"/>
    <w:pPr>
      <w:spacing w:before="120" w:after="120" w:line="500" w:lineRule="exact"/>
      <w:jc w:val="both"/>
    </w:pPr>
    <w:rPr>
      <w:kern w:val="28"/>
    </w:rPr>
  </w:style>
  <w:style w:type="paragraph" w:customStyle="1" w:styleId="zSoquijdatSignature3Juge">
    <w:name w:val="zSoquij_datSignature3Juge"/>
    <w:basedOn w:val="Normal"/>
    <w:rsid w:val="005C67B6"/>
    <w:pPr>
      <w:spacing w:line="240" w:lineRule="auto"/>
    </w:pPr>
  </w:style>
  <w:style w:type="paragraph" w:customStyle="1" w:styleId="ParagNonNum">
    <w:name w:val="ParagNonNum"/>
    <w:basedOn w:val="Paragrdouble"/>
    <w:rsid w:val="005C67B6"/>
    <w:pPr>
      <w:ind w:firstLine="734"/>
    </w:pPr>
  </w:style>
  <w:style w:type="paragraph" w:customStyle="1" w:styleId="zSoquijdatSignatureJuge1">
    <w:name w:val="zSoquij_datSignatureJuge1"/>
    <w:basedOn w:val="Normal"/>
    <w:rsid w:val="005C67B6"/>
    <w:pPr>
      <w:spacing w:line="240" w:lineRule="auto"/>
    </w:pPr>
  </w:style>
  <w:style w:type="paragraph" w:customStyle="1" w:styleId="zSoquijdatSignatureJuge2">
    <w:name w:val="zSoquij_datSignatureJuge2"/>
    <w:basedOn w:val="Normal"/>
    <w:rsid w:val="005C67B6"/>
    <w:pPr>
      <w:spacing w:line="240" w:lineRule="auto"/>
    </w:pPr>
  </w:style>
  <w:style w:type="paragraph" w:customStyle="1" w:styleId="zSoquijdatSignatureJuge3">
    <w:name w:val="zSoquij_datSignatureJuge3"/>
    <w:basedOn w:val="Normal"/>
    <w:rsid w:val="005C67B6"/>
    <w:pPr>
      <w:spacing w:line="240" w:lineRule="auto"/>
    </w:pPr>
  </w:style>
  <w:style w:type="paragraph" w:customStyle="1" w:styleId="zSoquijdatSignature2Juge">
    <w:name w:val="zSoquij_datSignature2Juge"/>
    <w:basedOn w:val="zSoquijdatSignatureJuge3"/>
    <w:rsid w:val="005C67B6"/>
  </w:style>
  <w:style w:type="paragraph" w:customStyle="1" w:styleId="ParagAlaMarge">
    <w:name w:val="ParagAlaMarge"/>
    <w:basedOn w:val="ParagNonNum"/>
    <w:next w:val="Paragrdouble"/>
    <w:rsid w:val="005C67B6"/>
    <w:pPr>
      <w:ind w:firstLine="0"/>
    </w:pPr>
  </w:style>
  <w:style w:type="paragraph" w:customStyle="1" w:styleId="zSoquijlblAssesseurs">
    <w:name w:val="zSoquij_lblAssesseurs"/>
    <w:basedOn w:val="Normal"/>
    <w:rsid w:val="005C67B6"/>
    <w:pPr>
      <w:spacing w:line="240" w:lineRule="auto"/>
      <w:ind w:left="14" w:right="-67"/>
    </w:pPr>
  </w:style>
  <w:style w:type="paragraph" w:customStyle="1" w:styleId="zSoquijdatAssesseurs">
    <w:name w:val="zSoquij_datAssesseurs"/>
    <w:basedOn w:val="Normal"/>
    <w:rsid w:val="005C67B6"/>
    <w:pPr>
      <w:spacing w:line="240" w:lineRule="auto"/>
      <w:ind w:left="14" w:right="-67"/>
    </w:pPr>
  </w:style>
  <w:style w:type="paragraph" w:customStyle="1" w:styleId="zSoquijlblLocalite">
    <w:name w:val="zSoquij_lblLocalite"/>
    <w:basedOn w:val="zSoquijlblGreffe"/>
    <w:rsid w:val="005C67B6"/>
    <w:pPr>
      <w:spacing w:line="240" w:lineRule="auto"/>
      <w:ind w:left="70"/>
    </w:pPr>
    <w:rPr>
      <w:caps/>
    </w:rPr>
  </w:style>
  <w:style w:type="paragraph" w:customStyle="1" w:styleId="zSoquijdatLocalite">
    <w:name w:val="zSoquij_datLocalite"/>
    <w:basedOn w:val="zSoquijdatGreffe"/>
    <w:rsid w:val="005C67B6"/>
    <w:pPr>
      <w:spacing w:line="240" w:lineRule="auto"/>
      <w:ind w:left="29"/>
    </w:pPr>
    <w:rPr>
      <w:caps/>
    </w:rPr>
  </w:style>
  <w:style w:type="numbering" w:customStyle="1" w:styleId="Style1">
    <w:name w:val="Style1"/>
    <w:uiPriority w:val="99"/>
    <w:rsid w:val="005C67B6"/>
    <w:pPr>
      <w:numPr>
        <w:numId w:val="20"/>
      </w:numPr>
    </w:pPr>
  </w:style>
  <w:style w:type="paragraph" w:customStyle="1" w:styleId="Paragrsimple">
    <w:name w:val="Paragr. simple"/>
    <w:basedOn w:val="Paragrdouble"/>
    <w:next w:val="Paragrdouble"/>
    <w:qFormat/>
    <w:rsid w:val="005C67B6"/>
    <w:pPr>
      <w:spacing w:line="240" w:lineRule="auto"/>
    </w:pPr>
  </w:style>
  <w:style w:type="paragraph" w:styleId="En-ttedetabledesmatires">
    <w:name w:val="TOC Heading"/>
    <w:basedOn w:val="Titre1"/>
    <w:next w:val="Normal"/>
    <w:uiPriority w:val="39"/>
    <w:qFormat/>
    <w:rsid w:val="005C67B6"/>
    <w:pPr>
      <w:keepLines/>
      <w:spacing w:before="480" w:after="0" w:line="276" w:lineRule="auto"/>
      <w:outlineLvl w:val="9"/>
    </w:pPr>
    <w:rPr>
      <w:rFonts w:ascii="Cambria" w:hAnsi="Cambria"/>
      <w:bCs/>
      <w:color w:val="365F91"/>
      <w:kern w:val="0"/>
      <w:szCs w:val="28"/>
      <w:lang w:eastAsia="fr-CA"/>
    </w:rPr>
  </w:style>
  <w:style w:type="paragraph" w:styleId="TM1">
    <w:name w:val="toc 1"/>
    <w:basedOn w:val="Normal"/>
    <w:next w:val="Normal"/>
    <w:autoRedefine/>
    <w:uiPriority w:val="39"/>
    <w:unhideWhenUsed/>
    <w:rsid w:val="005C67B6"/>
    <w:pPr>
      <w:spacing w:line="240" w:lineRule="auto"/>
    </w:pPr>
  </w:style>
  <w:style w:type="paragraph" w:styleId="TM2">
    <w:name w:val="toc 2"/>
    <w:basedOn w:val="Normal"/>
    <w:next w:val="Normal"/>
    <w:autoRedefine/>
    <w:uiPriority w:val="39"/>
    <w:unhideWhenUsed/>
    <w:rsid w:val="005C67B6"/>
    <w:pPr>
      <w:tabs>
        <w:tab w:val="right" w:leader="dot" w:pos="9352"/>
      </w:tabs>
      <w:spacing w:line="240" w:lineRule="auto"/>
      <w:ind w:left="240"/>
    </w:pPr>
  </w:style>
  <w:style w:type="paragraph" w:styleId="TM3">
    <w:name w:val="toc 3"/>
    <w:basedOn w:val="Normal"/>
    <w:next w:val="Normal"/>
    <w:autoRedefine/>
    <w:uiPriority w:val="39"/>
    <w:unhideWhenUsed/>
    <w:rsid w:val="005C67B6"/>
    <w:pPr>
      <w:spacing w:line="240" w:lineRule="auto"/>
      <w:ind w:left="480"/>
    </w:pPr>
  </w:style>
  <w:style w:type="character" w:styleId="Hyperlien">
    <w:name w:val="Hyperlink"/>
    <w:uiPriority w:val="99"/>
    <w:unhideWhenUsed/>
    <w:rsid w:val="005C67B6"/>
    <w:rPr>
      <w:color w:val="0000FF"/>
      <w:u w:val="single"/>
      <w:lang w:val="fr-CA"/>
    </w:rPr>
  </w:style>
  <w:style w:type="paragraph" w:styleId="Explorateurdedocuments">
    <w:name w:val="Document Map"/>
    <w:basedOn w:val="Normal"/>
    <w:link w:val="ExplorateurdedocumentsCar"/>
    <w:semiHidden/>
    <w:rsid w:val="005C67B6"/>
    <w:pPr>
      <w:shd w:val="clear" w:color="auto" w:fill="000080"/>
      <w:spacing w:line="240" w:lineRule="auto"/>
    </w:pPr>
    <w:rPr>
      <w:rFonts w:ascii="Tahoma" w:hAnsi="Tahoma" w:cs="Tahoma"/>
      <w:sz w:val="20"/>
    </w:rPr>
  </w:style>
  <w:style w:type="character" w:customStyle="1" w:styleId="ExplorateurdedocumentsCar">
    <w:name w:val="Explorateur de documents Car"/>
    <w:basedOn w:val="Policepardfaut"/>
    <w:link w:val="Explorateurdedocuments"/>
    <w:semiHidden/>
    <w:rsid w:val="005C67B6"/>
    <w:rPr>
      <w:rFonts w:ascii="Tahoma" w:hAnsi="Tahoma" w:cs="Tahoma"/>
      <w:shd w:val="clear" w:color="auto" w:fill="000080"/>
      <w:lang w:eastAsia="fr-FR"/>
    </w:rPr>
  </w:style>
  <w:style w:type="paragraph" w:styleId="Titre">
    <w:name w:val="Title"/>
    <w:basedOn w:val="Normal"/>
    <w:link w:val="TitreCar"/>
    <w:qFormat/>
    <w:rsid w:val="005C67B6"/>
    <w:pPr>
      <w:spacing w:before="240" w:after="60" w:line="240" w:lineRule="auto"/>
      <w:jc w:val="center"/>
      <w:outlineLvl w:val="0"/>
    </w:pPr>
    <w:rPr>
      <w:rFonts w:cs="Arial"/>
      <w:b/>
      <w:bCs/>
      <w:kern w:val="28"/>
      <w:sz w:val="32"/>
      <w:szCs w:val="32"/>
    </w:rPr>
  </w:style>
  <w:style w:type="character" w:customStyle="1" w:styleId="TitreCar">
    <w:name w:val="Titre Car"/>
    <w:basedOn w:val="Policepardfaut"/>
    <w:link w:val="Titre"/>
    <w:rsid w:val="005C67B6"/>
    <w:rPr>
      <w:rFonts w:ascii="Arial" w:hAnsi="Arial" w:cs="Arial"/>
      <w:b/>
      <w:bCs/>
      <w:kern w:val="28"/>
      <w:sz w:val="32"/>
      <w:szCs w:val="32"/>
      <w:lang w:eastAsia="fr-FR"/>
    </w:rPr>
  </w:style>
  <w:style w:type="character" w:customStyle="1" w:styleId="En-tteCar">
    <w:name w:val="En-tête Car"/>
    <w:basedOn w:val="Policepardfaut"/>
    <w:link w:val="En-tte"/>
    <w:uiPriority w:val="99"/>
    <w:rsid w:val="005C67B6"/>
    <w:rPr>
      <w:rFonts w:ascii="Arial" w:hAnsi="Arial"/>
      <w:sz w:val="24"/>
      <w:lang w:eastAsia="fr-FR"/>
    </w:rPr>
  </w:style>
  <w:style w:type="character" w:customStyle="1" w:styleId="PieddepageCar">
    <w:name w:val="Pied de page Car"/>
    <w:basedOn w:val="Policepardfaut"/>
    <w:link w:val="Pieddepage"/>
    <w:uiPriority w:val="99"/>
    <w:rsid w:val="005C67B6"/>
    <w:rPr>
      <w:rFonts w:ascii="Arial" w:hAnsi="Arial"/>
      <w:sz w:val="24"/>
      <w:lang w:eastAsia="fr-FR"/>
    </w:rPr>
  </w:style>
  <w:style w:type="character" w:customStyle="1" w:styleId="NotedebasdepageCar">
    <w:name w:val="Note de bas de page Car"/>
    <w:aliases w:val="Footnote Text Char2 Car,Footnote Text Char1 Char Car,Footnote Text Char Char Char Car, Char1 Char1 Char Char Car, Char1 Char2 Char Car,Footnote Text Char Char1 Car, Char1 Char1 Char1 Car, Char1 Char3 Car,fn Car,Char Char Char Car"/>
    <w:basedOn w:val="Policepardfaut"/>
    <w:link w:val="Notedebasdepage"/>
    <w:rsid w:val="005C67B6"/>
    <w:rPr>
      <w:rFonts w:ascii="Arial" w:hAnsi="Arial"/>
      <w:lang w:eastAsia="fr-FR"/>
    </w:rPr>
  </w:style>
  <w:style w:type="paragraph" w:styleId="NormalWeb">
    <w:name w:val="Normal (Web)"/>
    <w:basedOn w:val="Normal"/>
    <w:uiPriority w:val="99"/>
    <w:unhideWhenUsed/>
    <w:rsid w:val="005C67B6"/>
    <w:pPr>
      <w:spacing w:before="100" w:beforeAutospacing="1" w:after="100" w:afterAutospacing="1" w:line="240" w:lineRule="auto"/>
    </w:pPr>
    <w:rPr>
      <w:rFonts w:ascii="Times New Roman" w:hAnsi="Times New Roman"/>
      <w:szCs w:val="24"/>
      <w:lang w:eastAsia="fr-CA"/>
    </w:rPr>
  </w:style>
  <w:style w:type="paragraph" w:customStyle="1" w:styleId="link-to-speech">
    <w:name w:val="link-to-speech"/>
    <w:basedOn w:val="Normal"/>
    <w:rsid w:val="005C67B6"/>
    <w:pPr>
      <w:spacing w:before="100" w:beforeAutospacing="1" w:after="100" w:afterAutospacing="1" w:line="240" w:lineRule="auto"/>
    </w:pPr>
    <w:rPr>
      <w:rFonts w:ascii="Times New Roman" w:hAnsi="Times New Roman"/>
      <w:szCs w:val="24"/>
      <w:lang w:eastAsia="fr-CA"/>
    </w:rPr>
  </w:style>
  <w:style w:type="character" w:customStyle="1" w:styleId="link-to-speechlabel">
    <w:name w:val="link-to-speech__label"/>
    <w:basedOn w:val="Policepardfaut"/>
    <w:rsid w:val="005C67B6"/>
  </w:style>
  <w:style w:type="paragraph" w:customStyle="1" w:styleId="link-to-hansard">
    <w:name w:val="link-to-hansard"/>
    <w:basedOn w:val="Normal"/>
    <w:rsid w:val="005C67B6"/>
    <w:pPr>
      <w:spacing w:before="100" w:beforeAutospacing="1" w:after="100" w:afterAutospacing="1" w:line="240" w:lineRule="auto"/>
    </w:pPr>
    <w:rPr>
      <w:rFonts w:ascii="Times New Roman" w:hAnsi="Times New Roman"/>
      <w:szCs w:val="24"/>
      <w:lang w:eastAsia="fr-CA"/>
    </w:rPr>
  </w:style>
  <w:style w:type="paragraph" w:customStyle="1" w:styleId="paranondepar-altn">
    <w:name w:val="paranondepar-altn"/>
    <w:basedOn w:val="Normal"/>
    <w:rsid w:val="005C67B6"/>
    <w:pPr>
      <w:spacing w:before="100" w:beforeAutospacing="1" w:after="100" w:afterAutospacing="1" w:line="240" w:lineRule="auto"/>
    </w:pPr>
    <w:rPr>
      <w:rFonts w:ascii="Times New Roman" w:hAnsi="Times New Roman"/>
      <w:szCs w:val="24"/>
      <w:lang w:eastAsia="fr-CA"/>
    </w:rPr>
  </w:style>
  <w:style w:type="character" w:customStyle="1" w:styleId="reflex3-missing">
    <w:name w:val="reflex3-missing"/>
    <w:basedOn w:val="Policepardfaut"/>
    <w:rsid w:val="005C67B6"/>
  </w:style>
  <w:style w:type="paragraph" w:styleId="Paragraphedeliste">
    <w:name w:val="List Paragraph"/>
    <w:basedOn w:val="Normal"/>
    <w:uiPriority w:val="34"/>
    <w:qFormat/>
    <w:rsid w:val="005C67B6"/>
    <w:pPr>
      <w:spacing w:line="240" w:lineRule="auto"/>
      <w:ind w:left="720"/>
      <w:contextualSpacing/>
    </w:pPr>
  </w:style>
  <w:style w:type="paragraph" w:customStyle="1" w:styleId="paragraph">
    <w:name w:val="paragraph"/>
    <w:basedOn w:val="Normal"/>
    <w:rsid w:val="005C67B6"/>
    <w:pPr>
      <w:spacing w:before="100" w:beforeAutospacing="1" w:after="100" w:afterAutospacing="1" w:line="240" w:lineRule="auto"/>
    </w:pPr>
    <w:rPr>
      <w:rFonts w:ascii="Times New Roman" w:hAnsi="Times New Roman"/>
      <w:szCs w:val="24"/>
      <w:lang w:eastAsia="fr-CA"/>
    </w:rPr>
  </w:style>
  <w:style w:type="character" w:customStyle="1" w:styleId="lawlabel">
    <w:name w:val="lawlabel"/>
    <w:basedOn w:val="Policepardfaut"/>
    <w:rsid w:val="005C67B6"/>
  </w:style>
  <w:style w:type="character" w:customStyle="1" w:styleId="Mentionnonrsolue1">
    <w:name w:val="Mention non résolue1"/>
    <w:basedOn w:val="Policepardfaut"/>
    <w:uiPriority w:val="99"/>
    <w:semiHidden/>
    <w:unhideWhenUsed/>
    <w:rsid w:val="005C67B6"/>
    <w:rPr>
      <w:color w:val="605E5C"/>
      <w:shd w:val="clear" w:color="auto" w:fill="E1DFDD"/>
    </w:rPr>
  </w:style>
  <w:style w:type="paragraph" w:customStyle="1" w:styleId="citation-altc">
    <w:name w:val="citation-altc"/>
    <w:basedOn w:val="Normal"/>
    <w:rsid w:val="005C67B6"/>
    <w:pPr>
      <w:spacing w:before="100" w:beforeAutospacing="1" w:after="100" w:afterAutospacing="1" w:line="240" w:lineRule="auto"/>
    </w:pPr>
    <w:rPr>
      <w:rFonts w:ascii="Times New Roman" w:hAnsi="Times New Roman"/>
      <w:szCs w:val="24"/>
      <w:lang w:eastAsia="fr-CA"/>
    </w:rPr>
  </w:style>
  <w:style w:type="paragraph" w:customStyle="1" w:styleId="continueparasuitedupar-altp">
    <w:name w:val="continueparasuitedupar-altp"/>
    <w:basedOn w:val="Normal"/>
    <w:rsid w:val="005C67B6"/>
    <w:pPr>
      <w:spacing w:before="100" w:beforeAutospacing="1" w:after="100" w:afterAutospacing="1" w:line="240" w:lineRule="auto"/>
    </w:pPr>
    <w:rPr>
      <w:rFonts w:ascii="Times New Roman" w:hAnsi="Times New Roman"/>
      <w:szCs w:val="24"/>
      <w:lang w:eastAsia="fr-CA"/>
    </w:rPr>
  </w:style>
  <w:style w:type="paragraph" w:styleId="Rvision">
    <w:name w:val="Revision"/>
    <w:hidden/>
    <w:uiPriority w:val="99"/>
    <w:semiHidden/>
    <w:rsid w:val="005C67B6"/>
    <w:rPr>
      <w:rFonts w:ascii="Arial" w:hAnsi="Arial"/>
      <w:sz w:val="24"/>
      <w:lang w:eastAsia="fr-FR"/>
    </w:rPr>
  </w:style>
  <w:style w:type="character" w:styleId="Mentionnonrsolue">
    <w:name w:val="Unresolved Mention"/>
    <w:basedOn w:val="Policepardfaut"/>
    <w:uiPriority w:val="99"/>
    <w:rsid w:val="005C67B6"/>
    <w:rPr>
      <w:color w:val="605E5C"/>
      <w:shd w:val="clear" w:color="auto" w:fill="E1DFDD"/>
    </w:rPr>
  </w:style>
  <w:style w:type="character" w:customStyle="1" w:styleId="ParagrapheCar">
    <w:name w:val="Paragraphe Car"/>
    <w:link w:val="Paragraphe"/>
    <w:qFormat/>
    <w:rsid w:val="005C67B6"/>
    <w:rPr>
      <w:rFonts w:ascii="Arial" w:hAnsi="Arial"/>
      <w:kern w:val="28"/>
      <w:sz w:val="24"/>
      <w:lang w:eastAsia="fr-FR"/>
    </w:rPr>
  </w:style>
  <w:style w:type="character" w:customStyle="1" w:styleId="subsection">
    <w:name w:val="subsection"/>
    <w:basedOn w:val="Policepardfaut"/>
    <w:rsid w:val="005C6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www.canlii.org/en/ca/laws/stat/rsc-1985-c-c-46/latest/rsc-1985-c-c-46.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heyworkforyou.com/glossary/?gl=35"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8A525-8000-4EBF-92DB-64B5AB8AA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15070</Words>
  <Characters>82888</Characters>
  <Application>Microsoft Office Word</Application>
  <DocSecurity>0</DocSecurity>
  <Lines>690</Lines>
  <Paragraphs>195</Paragraphs>
  <ScaleCrop>false</ScaleCrop>
  <HeadingPairs>
    <vt:vector size="2" baseType="variant">
      <vt:variant>
        <vt:lpstr>Titre</vt:lpstr>
      </vt:variant>
      <vt:variant>
        <vt:i4>1</vt:i4>
      </vt:variant>
    </vt:vector>
  </HeadingPairs>
  <TitlesOfParts>
    <vt:vector size="1" baseType="lpstr">
      <vt:lpstr>Gabarit de jugement pour la cour d'appel</vt:lpstr>
    </vt:vector>
  </TitlesOfParts>
  <Manager>Patrice Tardif</Manager>
  <Company>MJQ</Company>
  <LinksUpToDate>false</LinksUpToDate>
  <CharactersWithSpaces>97763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de jugement pour la cour d'appel</dc:title>
  <dc:subject/>
  <dc:creator>Manon Beaudry</dc:creator>
  <cp:keywords/>
  <dc:description/>
  <cp:lastModifiedBy>Paillé, Pryscilla</cp:lastModifiedBy>
  <cp:revision>6</cp:revision>
  <cp:lastPrinted>2026-04-27T12:07:00Z</cp:lastPrinted>
  <dcterms:created xsi:type="dcterms:W3CDTF">2026-04-29T12:13:00Z</dcterms:created>
  <dcterms:modified xsi:type="dcterms:W3CDTF">2026-04-30T14:58:00Z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quij_DateModification">
    <vt:lpwstr>04-26-2001</vt:lpwstr>
  </property>
  <property fmtid="{D5CDD505-2E9C-101B-9397-08002B2CF9AE}" pid="3" name="Soquij_Version">
    <vt:lpwstr>1.6</vt:lpwstr>
  </property>
  <property fmtid="{D5CDD505-2E9C-101B-9397-08002B2CF9AE}" pid="4" name="Soquij_ModifiePar">
    <vt:lpwstr>renste</vt:lpwstr>
  </property>
  <property fmtid="{D5CDD505-2E9C-101B-9397-08002B2CF9AE}" pid="5" name="Soquij_Modele">
    <vt:lpwstr>Edj</vt:lpwstr>
  </property>
  <property fmtid="{D5CDD505-2E9C-101B-9397-08002B2CF9AE}" pid="6" name="Soquij_Cour">
    <vt:lpwstr>CA</vt:lpwstr>
  </property>
  <property fmtid="{D5CDD505-2E9C-101B-9397-08002B2CF9AE}" pid="7" name="Soquij_Langue">
    <vt:lpwstr>Fra</vt:lpwstr>
  </property>
</Properties>
</file>